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AF602" w14:textId="39C1C740" w:rsidR="002159CB" w:rsidRPr="00A01C14" w:rsidRDefault="00086747" w:rsidP="00A01C14">
      <w:pPr>
        <w:spacing w:after="0" w:line="240" w:lineRule="auto"/>
        <w:contextualSpacing/>
        <w:jc w:val="center"/>
        <w:rPr>
          <w:rStyle w:val="BookTitle"/>
          <w:rFonts w:cstheme="minorHAnsi"/>
          <w:sz w:val="32"/>
          <w:szCs w:val="32"/>
        </w:rPr>
      </w:pPr>
      <w:r w:rsidRPr="00A01C14">
        <w:rPr>
          <w:rFonts w:cstheme="minorHAnsi"/>
          <w:b/>
          <w:bCs/>
          <w:noProof/>
          <w:kern w:val="16"/>
          <w:sz w:val="32"/>
          <w:szCs w:val="32"/>
        </w:rPr>
        <w:drawing>
          <wp:inline distT="0" distB="0" distL="0" distR="0" wp14:anchorId="42EEED6A" wp14:editId="5599E001">
            <wp:extent cx="365760" cy="365760"/>
            <wp:effectExtent l="0" t="0" r="0" b="0"/>
            <wp:docPr id="13" name="Picture 13" descr="Acute Toxicity&#10;&#10;Globally Harmonized System pictogram Indicating a chemical is an acute toxicity haz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kull and cross bor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658A" w:rsidRPr="00A01C14">
        <w:rPr>
          <w:rStyle w:val="BookTitle"/>
          <w:rFonts w:cstheme="minorHAnsi"/>
          <w:sz w:val="32"/>
          <w:szCs w:val="32"/>
          <w:u w:val="single"/>
        </w:rPr>
        <w:t>Ethidium bromide</w:t>
      </w:r>
      <w:r w:rsidRPr="00A01C14">
        <w:rPr>
          <w:rStyle w:val="BookTitle"/>
          <w:rFonts w:cstheme="minorHAnsi"/>
          <w:sz w:val="32"/>
          <w:szCs w:val="32"/>
        </w:rPr>
        <w:t xml:space="preserve"> </w:t>
      </w:r>
      <w:r w:rsidRPr="00A01C14">
        <w:rPr>
          <w:rFonts w:cstheme="minorHAnsi"/>
          <w:b/>
          <w:bCs/>
          <w:noProof/>
          <w:kern w:val="16"/>
          <w:sz w:val="32"/>
          <w:szCs w:val="32"/>
        </w:rPr>
        <w:drawing>
          <wp:inline distT="0" distB="0" distL="0" distR="0" wp14:anchorId="48DA8F43" wp14:editId="4240200C">
            <wp:extent cx="365760" cy="365760"/>
            <wp:effectExtent l="0" t="0" r="0" b="0"/>
            <wp:docPr id="12" name="Picture 12" descr="Health Hazard&#10;&#10;Globally Harmonized System pictogram Indicating a chemical is an health hazard, such as a carcinog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ealth Hazar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1086E" w14:textId="7D511186" w:rsidR="00ED5378" w:rsidRPr="00A01C14" w:rsidRDefault="00146EF8" w:rsidP="00A01C14">
      <w:pPr>
        <w:pStyle w:val="Heading1"/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  <w:t>Introduction</w:t>
      </w:r>
      <w:r w:rsidR="00ED5378" w:rsidRPr="00A01C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ADE31E" w14:textId="4E6F350D" w:rsidR="002F4DB7" w:rsidRDefault="003713AC" w:rsidP="00A01C1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01C14">
        <w:rPr>
          <w:rFonts w:eastAsia="Times New Roman" w:cstheme="minorHAnsi"/>
          <w:sz w:val="24"/>
          <w:szCs w:val="24"/>
        </w:rPr>
        <w:t>Ethidium Bromide (EtBr) is a</w:t>
      </w:r>
      <w:r w:rsidR="00D574E5">
        <w:rPr>
          <w:rFonts w:eastAsia="Times New Roman" w:cstheme="minorHAnsi"/>
          <w:sz w:val="24"/>
          <w:szCs w:val="24"/>
        </w:rPr>
        <w:t>n odorless chemical with dark red color and</w:t>
      </w:r>
      <w:r w:rsidR="00292AF3">
        <w:rPr>
          <w:rFonts w:eastAsia="Times New Roman" w:cstheme="minorHAnsi"/>
          <w:sz w:val="24"/>
          <w:szCs w:val="24"/>
        </w:rPr>
        <w:t xml:space="preserve"> </w:t>
      </w:r>
      <w:r w:rsidR="00763AA9">
        <w:rPr>
          <w:rFonts w:eastAsia="Times New Roman" w:cstheme="minorHAnsi"/>
          <w:sz w:val="24"/>
          <w:szCs w:val="24"/>
        </w:rPr>
        <w:t xml:space="preserve">is </w:t>
      </w:r>
      <w:r w:rsidR="00DB490F">
        <w:rPr>
          <w:rFonts w:eastAsia="Times New Roman" w:cstheme="minorHAnsi"/>
          <w:sz w:val="24"/>
          <w:szCs w:val="24"/>
        </w:rPr>
        <w:t>available</w:t>
      </w:r>
      <w:r w:rsidR="00292AF3">
        <w:rPr>
          <w:rFonts w:eastAsia="Times New Roman" w:cstheme="minorHAnsi"/>
          <w:sz w:val="24"/>
          <w:szCs w:val="24"/>
        </w:rPr>
        <w:t xml:space="preserve"> to purchase</w:t>
      </w:r>
      <w:r w:rsidR="00D574E5">
        <w:rPr>
          <w:rFonts w:eastAsia="Times New Roman" w:cstheme="minorHAnsi"/>
          <w:sz w:val="24"/>
          <w:szCs w:val="24"/>
        </w:rPr>
        <w:t xml:space="preserve"> in the form of </w:t>
      </w:r>
      <w:r w:rsidR="00763AA9">
        <w:rPr>
          <w:rFonts w:eastAsia="Times New Roman" w:cstheme="minorHAnsi"/>
          <w:sz w:val="24"/>
          <w:szCs w:val="24"/>
        </w:rPr>
        <w:t xml:space="preserve">a </w:t>
      </w:r>
      <w:r w:rsidR="00DB490F">
        <w:rPr>
          <w:rFonts w:eastAsia="Times New Roman" w:cstheme="minorHAnsi"/>
          <w:sz w:val="24"/>
          <w:szCs w:val="24"/>
        </w:rPr>
        <w:t xml:space="preserve">solid (powder) </w:t>
      </w:r>
      <w:r w:rsidR="00D574E5">
        <w:rPr>
          <w:rFonts w:eastAsia="Times New Roman" w:cstheme="minorHAnsi"/>
          <w:sz w:val="24"/>
          <w:szCs w:val="24"/>
        </w:rPr>
        <w:t xml:space="preserve">or </w:t>
      </w:r>
      <w:r w:rsidR="00763AA9">
        <w:rPr>
          <w:rFonts w:eastAsia="Times New Roman" w:cstheme="minorHAnsi"/>
          <w:sz w:val="24"/>
          <w:szCs w:val="24"/>
        </w:rPr>
        <w:t xml:space="preserve">a </w:t>
      </w:r>
      <w:r w:rsidR="00D574E5">
        <w:rPr>
          <w:rFonts w:eastAsia="Times New Roman" w:cstheme="minorHAnsi"/>
          <w:sz w:val="24"/>
          <w:szCs w:val="24"/>
        </w:rPr>
        <w:t xml:space="preserve">solution. This chemical has the ability to </w:t>
      </w:r>
      <w:r w:rsidR="00292AF3">
        <w:rPr>
          <w:rFonts w:eastAsia="Times New Roman" w:cstheme="minorHAnsi"/>
          <w:sz w:val="24"/>
          <w:szCs w:val="24"/>
        </w:rPr>
        <w:t xml:space="preserve">intercalate with </w:t>
      </w:r>
      <w:r w:rsidR="00E97184">
        <w:rPr>
          <w:rFonts w:eastAsia="Times New Roman" w:cstheme="minorHAnsi"/>
          <w:sz w:val="24"/>
          <w:szCs w:val="24"/>
        </w:rPr>
        <w:t xml:space="preserve">double stranded </w:t>
      </w:r>
      <w:r w:rsidR="00292AF3">
        <w:rPr>
          <w:rFonts w:eastAsia="Times New Roman" w:cstheme="minorHAnsi"/>
          <w:sz w:val="24"/>
          <w:szCs w:val="24"/>
        </w:rPr>
        <w:t>nucleic acids and</w:t>
      </w:r>
      <w:r w:rsidR="00D574E5">
        <w:rPr>
          <w:rFonts w:eastAsia="Times New Roman" w:cstheme="minorHAnsi"/>
          <w:sz w:val="24"/>
          <w:szCs w:val="24"/>
        </w:rPr>
        <w:t xml:space="preserve"> to</w:t>
      </w:r>
      <w:r w:rsidR="00D574E5" w:rsidRPr="00D574E5">
        <w:t xml:space="preserve"> </w:t>
      </w:r>
      <w:r w:rsidR="00D574E5" w:rsidRPr="00D574E5">
        <w:rPr>
          <w:rFonts w:eastAsia="Times New Roman" w:cstheme="minorHAnsi"/>
          <w:sz w:val="24"/>
          <w:szCs w:val="24"/>
        </w:rPr>
        <w:t xml:space="preserve">fluoresces a red-orange color under </w:t>
      </w:r>
      <w:r w:rsidR="00D574E5">
        <w:rPr>
          <w:rFonts w:eastAsia="Times New Roman" w:cstheme="minorHAnsi"/>
          <w:sz w:val="24"/>
          <w:szCs w:val="24"/>
        </w:rPr>
        <w:t>ultraviolet (UV)</w:t>
      </w:r>
      <w:r w:rsidR="00D574E5" w:rsidRPr="00D574E5">
        <w:rPr>
          <w:rFonts w:eastAsia="Times New Roman" w:cstheme="minorHAnsi"/>
          <w:sz w:val="24"/>
          <w:szCs w:val="24"/>
        </w:rPr>
        <w:t xml:space="preserve"> light</w:t>
      </w:r>
      <w:r w:rsidR="00D574E5">
        <w:rPr>
          <w:rFonts w:eastAsia="Times New Roman" w:cstheme="minorHAnsi"/>
          <w:sz w:val="24"/>
          <w:szCs w:val="24"/>
        </w:rPr>
        <w:t xml:space="preserve">. </w:t>
      </w:r>
      <w:r w:rsidR="00292AF3">
        <w:rPr>
          <w:rFonts w:eastAsia="Times New Roman" w:cstheme="minorHAnsi"/>
          <w:sz w:val="24"/>
          <w:szCs w:val="24"/>
        </w:rPr>
        <w:t xml:space="preserve">The fluorescence of EtBr under the UV light intensifies upon binding to the nucleic acids. </w:t>
      </w:r>
      <w:r w:rsidR="00D574E5">
        <w:rPr>
          <w:rFonts w:eastAsia="Times New Roman" w:cstheme="minorHAnsi"/>
          <w:sz w:val="24"/>
          <w:szCs w:val="24"/>
        </w:rPr>
        <w:t>Thus EtBr is</w:t>
      </w:r>
      <w:r w:rsidR="00292AF3">
        <w:rPr>
          <w:rFonts w:eastAsia="Times New Roman" w:cstheme="minorHAnsi"/>
          <w:sz w:val="24"/>
          <w:szCs w:val="24"/>
        </w:rPr>
        <w:t xml:space="preserve"> </w:t>
      </w:r>
      <w:r w:rsidRPr="00A01C14">
        <w:rPr>
          <w:rFonts w:eastAsia="Times New Roman" w:cstheme="minorHAnsi"/>
          <w:sz w:val="24"/>
          <w:szCs w:val="24"/>
        </w:rPr>
        <w:t>commonly used</w:t>
      </w:r>
      <w:r w:rsidR="002F4DB7">
        <w:rPr>
          <w:rFonts w:eastAsia="Times New Roman" w:cstheme="minorHAnsi"/>
          <w:sz w:val="24"/>
          <w:szCs w:val="24"/>
        </w:rPr>
        <w:t xml:space="preserve"> as a </w:t>
      </w:r>
      <w:r w:rsidRPr="00A01C14">
        <w:rPr>
          <w:rFonts w:eastAsia="Times New Roman" w:cstheme="minorHAnsi"/>
          <w:sz w:val="24"/>
          <w:szCs w:val="24"/>
        </w:rPr>
        <w:t>stain for the visualization of nucleic acids in agarose gels. It is widely used by scientists due to its high sensitivity, rapid staining and very inexpensive price.</w:t>
      </w:r>
      <w:r w:rsidR="000D1F11" w:rsidRPr="00A01C14">
        <w:rPr>
          <w:rFonts w:eastAsia="Times New Roman" w:cstheme="minorHAnsi"/>
          <w:sz w:val="24"/>
          <w:szCs w:val="24"/>
        </w:rPr>
        <w:t xml:space="preserve"> Although it is an effective tool, its hazardous properties require safe handling and disposal procedures.</w:t>
      </w:r>
      <w:r w:rsidR="00FB2683" w:rsidRPr="00A01C14">
        <w:rPr>
          <w:rFonts w:eastAsia="Times New Roman" w:cstheme="minorHAnsi"/>
          <w:sz w:val="24"/>
          <w:szCs w:val="24"/>
        </w:rPr>
        <w:t xml:space="preserve"> </w:t>
      </w:r>
    </w:p>
    <w:p w14:paraId="6082B206" w14:textId="4DD87B9C" w:rsidR="0033280F" w:rsidRPr="00A01C14" w:rsidRDefault="002F4DB7" w:rsidP="00A01C14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Note: </w:t>
      </w:r>
      <w:r w:rsidR="00FB2683" w:rsidRPr="00A01C14">
        <w:rPr>
          <w:rFonts w:eastAsia="Times New Roman" w:cstheme="minorHAnsi"/>
          <w:i/>
          <w:sz w:val="24"/>
          <w:szCs w:val="24"/>
        </w:rPr>
        <w:t>This fact sheet is not intended to replace the Safety Data Sheet provided by the manufacturer.</w:t>
      </w:r>
    </w:p>
    <w:p w14:paraId="7D7586BA" w14:textId="0F8C590D" w:rsidR="00ED5378" w:rsidRPr="00A01C14" w:rsidRDefault="00765AB9" w:rsidP="00A01C14">
      <w:pPr>
        <w:pStyle w:val="Heading1"/>
        <w:spacing w:before="0" w:after="0"/>
        <w:jc w:val="left"/>
        <w:rPr>
          <w:rFonts w:asciiTheme="minorHAnsi" w:hAnsiTheme="minorHAnsi" w:cstheme="minorHAnsi"/>
          <w:sz w:val="24"/>
          <w:szCs w:val="24"/>
        </w:rPr>
      </w:pPr>
      <w:r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  <w:t>H</w:t>
      </w:r>
      <w:r w:rsidR="006C658A"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  <w:t>azards</w:t>
      </w:r>
    </w:p>
    <w:p w14:paraId="20BE9618" w14:textId="59CBC62C" w:rsidR="001B5986" w:rsidRPr="00A01C14" w:rsidRDefault="00514FDF" w:rsidP="00855BF5">
      <w:pPr>
        <w:pStyle w:val="ListParagraph"/>
        <w:numPr>
          <w:ilvl w:val="1"/>
          <w:numId w:val="1"/>
        </w:numPr>
        <w:tabs>
          <w:tab w:val="left" w:pos="900"/>
          <w:tab w:val="left" w:pos="1260"/>
        </w:tabs>
        <w:spacing w:after="0" w:line="240" w:lineRule="auto"/>
        <w:ind w:left="270"/>
        <w:rPr>
          <w:rFonts w:eastAsia="Times New Roman" w:cstheme="minorHAnsi"/>
          <w:bCs/>
          <w:sz w:val="24"/>
          <w:szCs w:val="24"/>
        </w:rPr>
      </w:pPr>
      <w:r w:rsidRPr="00A01C14">
        <w:rPr>
          <w:rFonts w:eastAsia="Times New Roman" w:cstheme="minorHAnsi"/>
          <w:bCs/>
          <w:sz w:val="24"/>
          <w:szCs w:val="24"/>
        </w:rPr>
        <w:t>EtBr is an acute toxin</w:t>
      </w:r>
      <w:r w:rsidR="00DB490F">
        <w:rPr>
          <w:rFonts w:eastAsia="Times New Roman" w:cstheme="minorHAnsi"/>
          <w:bCs/>
          <w:sz w:val="24"/>
          <w:szCs w:val="24"/>
        </w:rPr>
        <w:t xml:space="preserve"> </w:t>
      </w:r>
      <w:r w:rsidR="00060B29">
        <w:rPr>
          <w:rFonts w:eastAsia="Times New Roman" w:cstheme="minorHAnsi"/>
          <w:bCs/>
          <w:sz w:val="24"/>
          <w:szCs w:val="24"/>
        </w:rPr>
        <w:t>(Inhalation and oral)</w:t>
      </w:r>
      <w:r w:rsidRPr="00A01C14">
        <w:rPr>
          <w:rFonts w:eastAsia="Times New Roman" w:cstheme="minorHAnsi"/>
          <w:bCs/>
          <w:sz w:val="24"/>
          <w:szCs w:val="24"/>
        </w:rPr>
        <w:t xml:space="preserve"> and strong mutagen</w:t>
      </w:r>
      <w:r w:rsidR="003A5F1D" w:rsidRPr="00A01C14">
        <w:rPr>
          <w:rFonts w:eastAsia="Times New Roman" w:cstheme="minorHAnsi"/>
          <w:bCs/>
          <w:sz w:val="24"/>
          <w:szCs w:val="24"/>
        </w:rPr>
        <w:t xml:space="preserve"> requiring special precautions to protect against exposure</w:t>
      </w:r>
      <w:r w:rsidRPr="00A01C14">
        <w:rPr>
          <w:rFonts w:eastAsia="Times New Roman" w:cstheme="minorHAnsi"/>
          <w:bCs/>
          <w:sz w:val="24"/>
          <w:szCs w:val="24"/>
        </w:rPr>
        <w:t>.</w:t>
      </w:r>
    </w:p>
    <w:p w14:paraId="4A90C865" w14:textId="77777777" w:rsidR="00514FDF" w:rsidRPr="00A01C14" w:rsidRDefault="00514FDF" w:rsidP="00855BF5">
      <w:pPr>
        <w:pStyle w:val="ListParagraph"/>
        <w:numPr>
          <w:ilvl w:val="1"/>
          <w:numId w:val="1"/>
        </w:numPr>
        <w:tabs>
          <w:tab w:val="left" w:pos="900"/>
          <w:tab w:val="left" w:pos="1260"/>
        </w:tabs>
        <w:spacing w:after="0" w:line="240" w:lineRule="auto"/>
        <w:ind w:left="270"/>
        <w:rPr>
          <w:rFonts w:eastAsia="Times New Roman" w:cstheme="minorHAnsi"/>
          <w:bCs/>
          <w:sz w:val="24"/>
          <w:szCs w:val="24"/>
        </w:rPr>
      </w:pPr>
      <w:r w:rsidRPr="00A01C14">
        <w:rPr>
          <w:rFonts w:eastAsia="Times New Roman" w:cstheme="minorHAnsi"/>
          <w:bCs/>
          <w:sz w:val="24"/>
          <w:szCs w:val="24"/>
        </w:rPr>
        <w:t>EtBr is not easily decontaminated from surfaces. Areas where EtBr is used should be treated as hazardous, even when not actively in use.</w:t>
      </w:r>
      <w:r w:rsidR="007F5A70" w:rsidRPr="00A01C14">
        <w:rPr>
          <w:rFonts w:eastAsia="Times New Roman" w:cstheme="minorHAnsi"/>
          <w:bCs/>
          <w:sz w:val="24"/>
          <w:szCs w:val="24"/>
          <w:vertAlign w:val="superscript"/>
        </w:rPr>
        <w:t>1</w:t>
      </w:r>
    </w:p>
    <w:p w14:paraId="2F64B4F1" w14:textId="429C8D4D" w:rsidR="00AD09D0" w:rsidRPr="00A01C14" w:rsidRDefault="00AD09D0" w:rsidP="00855BF5">
      <w:pPr>
        <w:pStyle w:val="ListParagraph"/>
        <w:numPr>
          <w:ilvl w:val="1"/>
          <w:numId w:val="1"/>
        </w:numPr>
        <w:tabs>
          <w:tab w:val="left" w:pos="900"/>
          <w:tab w:val="left" w:pos="1260"/>
        </w:tabs>
        <w:spacing w:after="0" w:line="240" w:lineRule="auto"/>
        <w:ind w:left="270"/>
        <w:rPr>
          <w:rFonts w:eastAsia="Times New Roman" w:cstheme="minorHAnsi"/>
          <w:bCs/>
          <w:sz w:val="24"/>
          <w:szCs w:val="24"/>
        </w:rPr>
      </w:pPr>
      <w:r w:rsidRPr="00A01C14">
        <w:rPr>
          <w:rFonts w:eastAsia="Times New Roman" w:cstheme="minorHAnsi"/>
          <w:bCs/>
          <w:sz w:val="24"/>
          <w:szCs w:val="24"/>
        </w:rPr>
        <w:t>UV visualization of EtBr stained gels</w:t>
      </w:r>
      <w:r w:rsidR="008B795D">
        <w:rPr>
          <w:rFonts w:eastAsia="Times New Roman" w:cstheme="minorHAnsi"/>
          <w:bCs/>
          <w:sz w:val="24"/>
          <w:szCs w:val="24"/>
        </w:rPr>
        <w:t xml:space="preserve"> require</w:t>
      </w:r>
      <w:r w:rsidR="002B034D">
        <w:rPr>
          <w:rFonts w:eastAsia="Times New Roman" w:cstheme="minorHAnsi"/>
          <w:bCs/>
          <w:sz w:val="24"/>
          <w:szCs w:val="24"/>
        </w:rPr>
        <w:t>s</w:t>
      </w:r>
      <w:r w:rsidR="008B795D">
        <w:rPr>
          <w:rFonts w:eastAsia="Times New Roman" w:cstheme="minorHAnsi"/>
          <w:bCs/>
          <w:sz w:val="24"/>
          <w:szCs w:val="24"/>
        </w:rPr>
        <w:t xml:space="preserve"> </w:t>
      </w:r>
      <w:r w:rsidR="00DB490F">
        <w:rPr>
          <w:rFonts w:eastAsia="Times New Roman" w:cstheme="minorHAnsi"/>
          <w:bCs/>
          <w:sz w:val="24"/>
          <w:szCs w:val="24"/>
        </w:rPr>
        <w:t>added</w:t>
      </w:r>
      <w:r w:rsidR="008B795D">
        <w:rPr>
          <w:rFonts w:eastAsia="Times New Roman" w:cstheme="minorHAnsi"/>
          <w:bCs/>
          <w:sz w:val="24"/>
          <w:szCs w:val="24"/>
        </w:rPr>
        <w:t xml:space="preserve"> caution</w:t>
      </w:r>
      <w:r w:rsidR="00DB490F">
        <w:rPr>
          <w:rFonts w:eastAsia="Times New Roman" w:cstheme="minorHAnsi"/>
          <w:bCs/>
          <w:sz w:val="24"/>
          <w:szCs w:val="24"/>
        </w:rPr>
        <w:t xml:space="preserve">. Work </w:t>
      </w:r>
      <w:r w:rsidR="00060B29">
        <w:rPr>
          <w:rFonts w:eastAsia="Times New Roman" w:cstheme="minorHAnsi"/>
          <w:bCs/>
          <w:sz w:val="24"/>
          <w:szCs w:val="24"/>
        </w:rPr>
        <w:t>without proper skin and eye protection</w:t>
      </w:r>
      <w:r w:rsidR="00B26CE7" w:rsidRPr="00A01C14">
        <w:rPr>
          <w:rFonts w:eastAsia="Times New Roman" w:cstheme="minorHAnsi"/>
          <w:bCs/>
          <w:sz w:val="24"/>
          <w:szCs w:val="24"/>
        </w:rPr>
        <w:t xml:space="preserve"> </w:t>
      </w:r>
      <w:r w:rsidR="00DB490F">
        <w:rPr>
          <w:rFonts w:eastAsia="Times New Roman" w:cstheme="minorHAnsi"/>
          <w:bCs/>
          <w:sz w:val="24"/>
          <w:szCs w:val="24"/>
        </w:rPr>
        <w:t>may</w:t>
      </w:r>
      <w:r w:rsidR="00DB490F" w:rsidRPr="00A01C14">
        <w:rPr>
          <w:rFonts w:eastAsia="Times New Roman" w:cstheme="minorHAnsi"/>
          <w:bCs/>
          <w:sz w:val="24"/>
          <w:szCs w:val="24"/>
        </w:rPr>
        <w:t xml:space="preserve"> </w:t>
      </w:r>
      <w:r w:rsidR="00DB490F">
        <w:rPr>
          <w:rFonts w:eastAsia="Times New Roman" w:cstheme="minorHAnsi"/>
          <w:bCs/>
          <w:sz w:val="24"/>
          <w:szCs w:val="24"/>
        </w:rPr>
        <w:t>result</w:t>
      </w:r>
      <w:r w:rsidR="00DB490F" w:rsidRPr="00A01C14">
        <w:rPr>
          <w:rFonts w:eastAsia="Times New Roman" w:cstheme="minorHAnsi"/>
          <w:bCs/>
          <w:sz w:val="24"/>
          <w:szCs w:val="24"/>
        </w:rPr>
        <w:t xml:space="preserve"> </w:t>
      </w:r>
      <w:r w:rsidR="002B034D">
        <w:rPr>
          <w:rFonts w:eastAsia="Times New Roman" w:cstheme="minorHAnsi"/>
          <w:bCs/>
          <w:sz w:val="24"/>
          <w:szCs w:val="24"/>
        </w:rPr>
        <w:t xml:space="preserve">in </w:t>
      </w:r>
      <w:r w:rsidR="00DB490F">
        <w:rPr>
          <w:rFonts w:eastAsia="Times New Roman" w:cstheme="minorHAnsi"/>
          <w:bCs/>
          <w:sz w:val="24"/>
          <w:szCs w:val="24"/>
        </w:rPr>
        <w:t>exposure to UV radiation, which cause</w:t>
      </w:r>
      <w:r w:rsidR="002B034D">
        <w:rPr>
          <w:rFonts w:eastAsia="Times New Roman" w:cstheme="minorHAnsi"/>
          <w:bCs/>
          <w:sz w:val="24"/>
          <w:szCs w:val="24"/>
        </w:rPr>
        <w:t>s</w:t>
      </w:r>
      <w:r w:rsidR="00DB490F">
        <w:rPr>
          <w:rFonts w:eastAsia="Times New Roman" w:cstheme="minorHAnsi"/>
          <w:bCs/>
          <w:sz w:val="24"/>
          <w:szCs w:val="24"/>
        </w:rPr>
        <w:t xml:space="preserve"> </w:t>
      </w:r>
      <w:r w:rsidR="00B26CE7" w:rsidRPr="00A01C14">
        <w:rPr>
          <w:rFonts w:eastAsia="Times New Roman" w:cstheme="minorHAnsi"/>
          <w:bCs/>
          <w:sz w:val="24"/>
          <w:szCs w:val="24"/>
        </w:rPr>
        <w:t>damage to the skin and to the cornea of the eyes</w:t>
      </w:r>
      <w:r w:rsidR="00D543F4" w:rsidRPr="00A01C14">
        <w:rPr>
          <w:rFonts w:eastAsia="Times New Roman" w:cstheme="minorHAnsi"/>
          <w:bCs/>
          <w:sz w:val="24"/>
          <w:szCs w:val="24"/>
        </w:rPr>
        <w:t xml:space="preserve"> with exposures as brief as three seconds in duration</w:t>
      </w:r>
      <w:r w:rsidR="00B26CE7" w:rsidRPr="00A01C14">
        <w:rPr>
          <w:rFonts w:eastAsia="Times New Roman" w:cstheme="minorHAnsi"/>
          <w:bCs/>
          <w:sz w:val="24"/>
          <w:szCs w:val="24"/>
        </w:rPr>
        <w:t>.</w:t>
      </w:r>
    </w:p>
    <w:p w14:paraId="457E4AC1" w14:textId="77777777" w:rsidR="00FF35B5" w:rsidRPr="00A01C14" w:rsidRDefault="006C658A" w:rsidP="00A01C14">
      <w:pPr>
        <w:pStyle w:val="Heading1"/>
        <w:spacing w:before="0" w:after="0"/>
        <w:jc w:val="left"/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</w:pPr>
      <w:r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  <w:t>Best practices</w:t>
      </w:r>
    </w:p>
    <w:p w14:paraId="1906B9B7" w14:textId="77777777" w:rsidR="001B100D" w:rsidRPr="00A01C14" w:rsidRDefault="001B100D" w:rsidP="00855BF5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eastAsia="Times New Roman" w:cstheme="minorHAnsi"/>
          <w:bCs/>
          <w:sz w:val="24"/>
          <w:szCs w:val="24"/>
        </w:rPr>
      </w:pPr>
      <w:r w:rsidRPr="00A01C14">
        <w:rPr>
          <w:rFonts w:eastAsia="Times New Roman" w:cstheme="minorHAnsi"/>
          <w:bCs/>
          <w:sz w:val="24"/>
          <w:szCs w:val="24"/>
        </w:rPr>
        <w:t>Locations where EtBr is used must be demarcated and identified as EtBr work area.</w:t>
      </w:r>
    </w:p>
    <w:p w14:paraId="320F4EAA" w14:textId="4C581AB9" w:rsidR="00AC3A1F" w:rsidRPr="00A01C14" w:rsidRDefault="00565BAD" w:rsidP="00855BF5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eastAsia="Times New Roman" w:cstheme="minorHAnsi"/>
          <w:bCs/>
          <w:sz w:val="24"/>
          <w:szCs w:val="24"/>
        </w:rPr>
      </w:pPr>
      <w:r w:rsidRPr="00A01C14">
        <w:rPr>
          <w:rFonts w:eastAsia="Times New Roman" w:cstheme="minorHAnsi"/>
          <w:bCs/>
          <w:sz w:val="24"/>
          <w:szCs w:val="24"/>
        </w:rPr>
        <w:t>Always wear a lab coat, closed toed shoes, eye protection, and gloves when handling EtBr or anything with EtBr on it.</w:t>
      </w:r>
    </w:p>
    <w:p w14:paraId="1049978B" w14:textId="7F66A926" w:rsidR="00565BAD" w:rsidRPr="00A01C14" w:rsidRDefault="00565BAD" w:rsidP="00855BF5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eastAsia="Times New Roman" w:cstheme="minorHAnsi"/>
          <w:bCs/>
          <w:sz w:val="24"/>
          <w:szCs w:val="24"/>
        </w:rPr>
      </w:pPr>
      <w:r w:rsidRPr="00A01C14">
        <w:rPr>
          <w:rFonts w:eastAsia="Times New Roman" w:cstheme="minorHAnsi"/>
          <w:bCs/>
          <w:sz w:val="24"/>
          <w:szCs w:val="24"/>
        </w:rPr>
        <w:t xml:space="preserve">When visualizing gels stained with EtBr </w:t>
      </w:r>
      <w:r w:rsidR="002B034D">
        <w:rPr>
          <w:rFonts w:eastAsia="Times New Roman" w:cstheme="minorHAnsi"/>
          <w:bCs/>
          <w:sz w:val="24"/>
          <w:szCs w:val="24"/>
        </w:rPr>
        <w:t>using an</w:t>
      </w:r>
      <w:r w:rsidRPr="00A01C14">
        <w:rPr>
          <w:rFonts w:eastAsia="Times New Roman" w:cstheme="minorHAnsi"/>
          <w:bCs/>
          <w:sz w:val="24"/>
          <w:szCs w:val="24"/>
        </w:rPr>
        <w:t xml:space="preserve"> UV light source, keep the UV box protective cover in place and wear an UV protective face shield.</w:t>
      </w:r>
    </w:p>
    <w:p w14:paraId="7247636B" w14:textId="1E9AF965" w:rsidR="007A0C0A" w:rsidRPr="00A01C14" w:rsidRDefault="007A0C0A" w:rsidP="00855BF5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eastAsia="Times New Roman" w:cstheme="minorHAnsi"/>
          <w:bCs/>
          <w:sz w:val="24"/>
          <w:szCs w:val="24"/>
        </w:rPr>
      </w:pPr>
      <w:r w:rsidRPr="00A01C14">
        <w:rPr>
          <w:rFonts w:eastAsia="Times New Roman" w:cstheme="minorHAnsi"/>
          <w:bCs/>
          <w:sz w:val="24"/>
          <w:szCs w:val="24"/>
        </w:rPr>
        <w:t>To minimize inhalation exposure</w:t>
      </w:r>
      <w:r w:rsidR="00DB490F">
        <w:rPr>
          <w:rFonts w:eastAsia="Times New Roman" w:cstheme="minorHAnsi"/>
          <w:bCs/>
          <w:sz w:val="24"/>
          <w:szCs w:val="24"/>
        </w:rPr>
        <w:t xml:space="preserve"> with EtBr solids</w:t>
      </w:r>
      <w:r w:rsidRPr="00A01C14">
        <w:rPr>
          <w:rFonts w:eastAsia="Times New Roman" w:cstheme="minorHAnsi"/>
          <w:bCs/>
          <w:sz w:val="24"/>
          <w:szCs w:val="24"/>
        </w:rPr>
        <w:t xml:space="preserve">, purchase ready-made </w:t>
      </w:r>
      <w:r w:rsidR="002B034D">
        <w:rPr>
          <w:rFonts w:eastAsia="Times New Roman" w:cstheme="minorHAnsi"/>
          <w:bCs/>
          <w:sz w:val="24"/>
          <w:szCs w:val="24"/>
        </w:rPr>
        <w:t xml:space="preserve">liquid </w:t>
      </w:r>
      <w:r w:rsidRPr="00A01C14">
        <w:rPr>
          <w:rFonts w:eastAsia="Times New Roman" w:cstheme="minorHAnsi"/>
          <w:bCs/>
          <w:sz w:val="24"/>
          <w:szCs w:val="24"/>
        </w:rPr>
        <w:t>stock solutions.</w:t>
      </w:r>
    </w:p>
    <w:p w14:paraId="37BDFB5B" w14:textId="715DFFE1" w:rsidR="007A0C0A" w:rsidRPr="00A01C14" w:rsidRDefault="007A0C0A" w:rsidP="00855BF5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eastAsia="Times New Roman" w:cstheme="minorHAnsi"/>
          <w:bCs/>
          <w:sz w:val="24"/>
          <w:szCs w:val="24"/>
        </w:rPr>
      </w:pPr>
      <w:r w:rsidRPr="00A01C14">
        <w:rPr>
          <w:rFonts w:eastAsia="Times New Roman" w:cstheme="minorHAnsi"/>
          <w:bCs/>
          <w:sz w:val="24"/>
          <w:szCs w:val="24"/>
        </w:rPr>
        <w:t>P</w:t>
      </w:r>
      <w:r w:rsidR="00FC6CCA">
        <w:rPr>
          <w:rFonts w:eastAsia="Times New Roman" w:cstheme="minorHAnsi"/>
          <w:bCs/>
          <w:sz w:val="24"/>
          <w:szCs w:val="24"/>
        </w:rPr>
        <w:t>erform p</w:t>
      </w:r>
      <w:r w:rsidRPr="00A01C14">
        <w:rPr>
          <w:rFonts w:eastAsia="Times New Roman" w:cstheme="minorHAnsi"/>
          <w:bCs/>
          <w:sz w:val="24"/>
          <w:szCs w:val="24"/>
        </w:rPr>
        <w:t xml:space="preserve">rocedures </w:t>
      </w:r>
      <w:r w:rsidR="00986675" w:rsidRPr="00A01C14">
        <w:rPr>
          <w:rFonts w:eastAsia="Times New Roman" w:cstheme="minorHAnsi"/>
          <w:bCs/>
          <w:sz w:val="24"/>
          <w:szCs w:val="24"/>
        </w:rPr>
        <w:t xml:space="preserve">using EtBr powder or </w:t>
      </w:r>
      <w:r w:rsidR="00FC6CCA">
        <w:rPr>
          <w:rFonts w:eastAsia="Times New Roman" w:cstheme="minorHAnsi"/>
          <w:bCs/>
          <w:sz w:val="24"/>
          <w:szCs w:val="24"/>
        </w:rPr>
        <w:t xml:space="preserve">those </w:t>
      </w:r>
      <w:r w:rsidR="00855BF5">
        <w:rPr>
          <w:rFonts w:eastAsia="Times New Roman" w:cstheme="minorHAnsi"/>
          <w:bCs/>
          <w:sz w:val="24"/>
          <w:szCs w:val="24"/>
        </w:rPr>
        <w:t>with</w:t>
      </w:r>
      <w:r w:rsidRPr="00A01C14">
        <w:rPr>
          <w:rFonts w:eastAsia="Times New Roman" w:cstheme="minorHAnsi"/>
          <w:bCs/>
          <w:sz w:val="24"/>
          <w:szCs w:val="24"/>
        </w:rPr>
        <w:t xml:space="preserve"> the potential to generate aerosols </w:t>
      </w:r>
      <w:r w:rsidR="00FC6CCA">
        <w:rPr>
          <w:rFonts w:eastAsia="Times New Roman" w:cstheme="minorHAnsi"/>
          <w:bCs/>
          <w:sz w:val="24"/>
          <w:szCs w:val="24"/>
        </w:rPr>
        <w:t>inside</w:t>
      </w:r>
      <w:r w:rsidRPr="00A01C14">
        <w:rPr>
          <w:rFonts w:eastAsia="Times New Roman" w:cstheme="minorHAnsi"/>
          <w:bCs/>
          <w:sz w:val="24"/>
          <w:szCs w:val="24"/>
        </w:rPr>
        <w:t xml:space="preserve"> </w:t>
      </w:r>
      <w:r w:rsidR="00855BF5">
        <w:rPr>
          <w:rFonts w:eastAsia="Times New Roman" w:cstheme="minorHAnsi"/>
          <w:bCs/>
          <w:sz w:val="24"/>
          <w:szCs w:val="24"/>
        </w:rPr>
        <w:t xml:space="preserve">a </w:t>
      </w:r>
      <w:r w:rsidR="0003590E">
        <w:rPr>
          <w:rFonts w:eastAsia="Times New Roman" w:cstheme="minorHAnsi"/>
          <w:bCs/>
          <w:sz w:val="24"/>
          <w:szCs w:val="24"/>
        </w:rPr>
        <w:t xml:space="preserve">chemical </w:t>
      </w:r>
      <w:r w:rsidR="00855BF5">
        <w:rPr>
          <w:rFonts w:eastAsia="Times New Roman" w:cstheme="minorHAnsi"/>
          <w:bCs/>
          <w:sz w:val="24"/>
          <w:szCs w:val="24"/>
        </w:rPr>
        <w:t xml:space="preserve">fume </w:t>
      </w:r>
      <w:r w:rsidRPr="00A01C14">
        <w:rPr>
          <w:rFonts w:eastAsia="Times New Roman" w:cstheme="minorHAnsi"/>
          <w:bCs/>
          <w:sz w:val="24"/>
          <w:szCs w:val="24"/>
        </w:rPr>
        <w:t>hood.</w:t>
      </w:r>
    </w:p>
    <w:p w14:paraId="60B17271" w14:textId="77777777" w:rsidR="0003590E" w:rsidRDefault="00986675" w:rsidP="00855BF5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eastAsia="Times New Roman" w:cstheme="minorHAnsi"/>
          <w:bCs/>
          <w:sz w:val="24"/>
          <w:szCs w:val="24"/>
        </w:rPr>
      </w:pPr>
      <w:r w:rsidRPr="00A01C14">
        <w:rPr>
          <w:rFonts w:eastAsia="Times New Roman" w:cstheme="minorHAnsi"/>
          <w:bCs/>
          <w:sz w:val="24"/>
          <w:szCs w:val="24"/>
        </w:rPr>
        <w:t>Allow agarose gel preparations to cool to just before solidification before adding EtBr to minimize aerosols.</w:t>
      </w:r>
    </w:p>
    <w:p w14:paraId="0E6092BA" w14:textId="128041A7" w:rsidR="007A0C0A" w:rsidRDefault="007574E8" w:rsidP="00855BF5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eastAsia="Times New Roman" w:cstheme="minorHAnsi"/>
          <w:bCs/>
          <w:sz w:val="24"/>
          <w:szCs w:val="24"/>
        </w:rPr>
      </w:pPr>
      <w:r w:rsidRPr="00A01C14">
        <w:rPr>
          <w:rFonts w:eastAsia="Times New Roman" w:cstheme="minorHAnsi"/>
          <w:bCs/>
          <w:sz w:val="24"/>
          <w:szCs w:val="24"/>
        </w:rPr>
        <w:t>DO NOT heat anything containing EtBr in the microwave.</w:t>
      </w:r>
    </w:p>
    <w:p w14:paraId="73F6737E" w14:textId="6AC3BBDF" w:rsidR="00060B29" w:rsidRPr="00A01C14" w:rsidRDefault="00060B29" w:rsidP="00855BF5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DO NOT autoclave </w:t>
      </w:r>
      <w:r w:rsidR="002B7B8D">
        <w:rPr>
          <w:rFonts w:eastAsia="Times New Roman" w:cstheme="minorHAnsi"/>
          <w:bCs/>
          <w:sz w:val="24"/>
          <w:szCs w:val="24"/>
        </w:rPr>
        <w:t xml:space="preserve">any </w:t>
      </w:r>
      <w:r>
        <w:rPr>
          <w:rFonts w:eastAsia="Times New Roman" w:cstheme="minorHAnsi"/>
          <w:bCs/>
          <w:sz w:val="24"/>
          <w:szCs w:val="24"/>
        </w:rPr>
        <w:t>material contaminated with EtBr.</w:t>
      </w:r>
    </w:p>
    <w:p w14:paraId="29E993AF" w14:textId="77777777" w:rsidR="002859A7" w:rsidRPr="00A01C14" w:rsidRDefault="002859A7" w:rsidP="00855BF5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eastAsia="Times New Roman" w:cstheme="minorHAnsi"/>
          <w:bCs/>
          <w:sz w:val="24"/>
          <w:szCs w:val="24"/>
        </w:rPr>
      </w:pPr>
      <w:r w:rsidRPr="00A01C14">
        <w:rPr>
          <w:rFonts w:eastAsia="Times New Roman" w:cstheme="minorHAnsi"/>
          <w:bCs/>
          <w:sz w:val="24"/>
          <w:szCs w:val="24"/>
        </w:rPr>
        <w:t>Transport solutions of EtBr in secondary containers to prevent accidental spill.</w:t>
      </w:r>
    </w:p>
    <w:p w14:paraId="00D35733" w14:textId="67E10EDD" w:rsidR="00CC3028" w:rsidRPr="00A01C14" w:rsidRDefault="00765AB9" w:rsidP="00A01C14">
      <w:pPr>
        <w:pStyle w:val="Heading1"/>
        <w:spacing w:before="0" w:after="0"/>
        <w:jc w:val="left"/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</w:pPr>
      <w:r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  <w:t>D</w:t>
      </w:r>
      <w:r w:rsidR="006C658A"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  <w:t>isposal</w:t>
      </w:r>
      <w:r w:rsidR="0058634B"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  <w:vertAlign w:val="superscript"/>
        </w:rPr>
        <w:t>1</w:t>
      </w:r>
    </w:p>
    <w:p w14:paraId="46C502F6" w14:textId="0A6C5215" w:rsidR="00AC3A1F" w:rsidRPr="00A01C14" w:rsidRDefault="004006BC" w:rsidP="00855BF5">
      <w:pPr>
        <w:pStyle w:val="ListParagraph"/>
        <w:numPr>
          <w:ilvl w:val="0"/>
          <w:numId w:val="6"/>
        </w:numPr>
        <w:spacing w:after="0" w:line="240" w:lineRule="auto"/>
        <w:ind w:left="270"/>
        <w:rPr>
          <w:rFonts w:cstheme="minorHAnsi"/>
          <w:sz w:val="24"/>
          <w:szCs w:val="24"/>
        </w:rPr>
      </w:pPr>
      <w:r w:rsidRPr="00A01C14">
        <w:rPr>
          <w:rFonts w:cstheme="minorHAnsi"/>
          <w:sz w:val="24"/>
          <w:szCs w:val="24"/>
        </w:rPr>
        <w:t xml:space="preserve">EtBr liquid waste </w:t>
      </w:r>
      <w:r w:rsidR="007574E8" w:rsidRPr="00A01C14">
        <w:rPr>
          <w:rFonts w:cstheme="minorHAnsi"/>
          <w:sz w:val="24"/>
          <w:szCs w:val="24"/>
        </w:rPr>
        <w:t xml:space="preserve">(including running buffers) </w:t>
      </w:r>
      <w:r w:rsidRPr="00A01C14">
        <w:rPr>
          <w:rFonts w:cstheme="minorHAnsi"/>
          <w:sz w:val="24"/>
          <w:szCs w:val="24"/>
        </w:rPr>
        <w:t xml:space="preserve">must be collected as hazardous waste and </w:t>
      </w:r>
      <w:r w:rsidR="00A073EB" w:rsidRPr="00A01C14">
        <w:rPr>
          <w:rFonts w:cstheme="minorHAnsi"/>
          <w:sz w:val="24"/>
          <w:szCs w:val="24"/>
        </w:rPr>
        <w:t>cannot be treated in any way in an attempt to make it non-</w:t>
      </w:r>
      <w:r w:rsidR="000A6019" w:rsidRPr="00A01C14">
        <w:rPr>
          <w:rFonts w:cstheme="minorHAnsi"/>
          <w:sz w:val="24"/>
          <w:szCs w:val="24"/>
        </w:rPr>
        <w:t>hazardous</w:t>
      </w:r>
      <w:r w:rsidRPr="00A01C14">
        <w:rPr>
          <w:rFonts w:cstheme="minorHAnsi"/>
          <w:sz w:val="24"/>
          <w:szCs w:val="24"/>
        </w:rPr>
        <w:t>.</w:t>
      </w:r>
      <w:r w:rsidR="00062583" w:rsidRPr="00A01C14">
        <w:rPr>
          <w:rFonts w:cstheme="minorHAnsi"/>
          <w:sz w:val="24"/>
          <w:szCs w:val="24"/>
        </w:rPr>
        <w:t xml:space="preserve"> Contact </w:t>
      </w:r>
      <w:hyperlink r:id="rId13" w:history="1">
        <w:r w:rsidR="00062583" w:rsidRPr="00A01C14">
          <w:rPr>
            <w:rStyle w:val="Hyperlink"/>
            <w:rFonts w:cstheme="minorHAnsi"/>
            <w:sz w:val="24"/>
            <w:szCs w:val="24"/>
          </w:rPr>
          <w:t>OEHS</w:t>
        </w:r>
      </w:hyperlink>
      <w:r w:rsidR="00062583" w:rsidRPr="00A01C14">
        <w:rPr>
          <w:rFonts w:cstheme="minorHAnsi"/>
          <w:sz w:val="24"/>
          <w:szCs w:val="24"/>
        </w:rPr>
        <w:t xml:space="preserve"> for disposal.</w:t>
      </w:r>
      <w:r w:rsidR="003E2FFB" w:rsidRPr="00A01C14">
        <w:rPr>
          <w:rFonts w:cstheme="minorHAnsi"/>
          <w:sz w:val="24"/>
          <w:szCs w:val="24"/>
        </w:rPr>
        <w:t xml:space="preserve"> </w:t>
      </w:r>
    </w:p>
    <w:p w14:paraId="0F0F837E" w14:textId="77777777" w:rsidR="00062583" w:rsidRPr="00A01C14" w:rsidRDefault="00062583" w:rsidP="00855BF5">
      <w:pPr>
        <w:pStyle w:val="ListParagraph"/>
        <w:numPr>
          <w:ilvl w:val="0"/>
          <w:numId w:val="6"/>
        </w:numPr>
        <w:spacing w:after="0" w:line="240" w:lineRule="auto"/>
        <w:ind w:left="270"/>
        <w:rPr>
          <w:rFonts w:cstheme="minorHAnsi"/>
          <w:sz w:val="24"/>
          <w:szCs w:val="24"/>
        </w:rPr>
      </w:pPr>
      <w:r w:rsidRPr="00A01C14">
        <w:rPr>
          <w:rFonts w:cstheme="minorHAnsi"/>
          <w:sz w:val="24"/>
          <w:szCs w:val="24"/>
        </w:rPr>
        <w:t>EtBr</w:t>
      </w:r>
      <w:r w:rsidR="007574E8" w:rsidRPr="00A01C14">
        <w:rPr>
          <w:rFonts w:cstheme="minorHAnsi"/>
          <w:sz w:val="24"/>
          <w:szCs w:val="24"/>
        </w:rPr>
        <w:t xml:space="preserve"> solid waste and </w:t>
      </w:r>
      <w:r w:rsidRPr="00A01C14">
        <w:rPr>
          <w:rFonts w:cstheme="minorHAnsi"/>
          <w:sz w:val="24"/>
          <w:szCs w:val="24"/>
        </w:rPr>
        <w:t>contaminated debris</w:t>
      </w:r>
      <w:r w:rsidR="002859A7" w:rsidRPr="00A01C14">
        <w:rPr>
          <w:rFonts w:cstheme="minorHAnsi"/>
          <w:sz w:val="24"/>
          <w:szCs w:val="24"/>
        </w:rPr>
        <w:t xml:space="preserve">, </w:t>
      </w:r>
      <w:r w:rsidR="007574E8" w:rsidRPr="00A01C14">
        <w:rPr>
          <w:rFonts w:cstheme="minorHAnsi"/>
          <w:sz w:val="24"/>
          <w:szCs w:val="24"/>
        </w:rPr>
        <w:t xml:space="preserve">(gels, </w:t>
      </w:r>
      <w:r w:rsidR="002859A7" w:rsidRPr="00A01C14">
        <w:rPr>
          <w:rFonts w:cstheme="minorHAnsi"/>
          <w:sz w:val="24"/>
          <w:szCs w:val="24"/>
        </w:rPr>
        <w:t>gloves, bench paper and other non-labware items</w:t>
      </w:r>
      <w:r w:rsidR="007574E8" w:rsidRPr="00A01C14">
        <w:rPr>
          <w:rFonts w:cstheme="minorHAnsi"/>
          <w:sz w:val="24"/>
          <w:szCs w:val="24"/>
        </w:rPr>
        <w:t>)</w:t>
      </w:r>
      <w:r w:rsidRPr="00A01C14">
        <w:rPr>
          <w:rFonts w:cstheme="minorHAnsi"/>
          <w:sz w:val="24"/>
          <w:szCs w:val="24"/>
        </w:rPr>
        <w:t xml:space="preserve"> must be collected as hazardous waste</w:t>
      </w:r>
      <w:r w:rsidR="007574E8" w:rsidRPr="00A01C14">
        <w:rPr>
          <w:rFonts w:cstheme="minorHAnsi"/>
          <w:sz w:val="24"/>
          <w:szCs w:val="24"/>
        </w:rPr>
        <w:t xml:space="preserve"> in lined pails to be disposed of by </w:t>
      </w:r>
      <w:hyperlink r:id="rId14" w:history="1">
        <w:r w:rsidR="007574E8" w:rsidRPr="00A01C14">
          <w:rPr>
            <w:rStyle w:val="Hyperlink"/>
            <w:rFonts w:cstheme="minorHAnsi"/>
            <w:sz w:val="24"/>
            <w:szCs w:val="24"/>
          </w:rPr>
          <w:t>OEHS</w:t>
        </w:r>
      </w:hyperlink>
      <w:r w:rsidRPr="00A01C14">
        <w:rPr>
          <w:rFonts w:cstheme="minorHAnsi"/>
          <w:sz w:val="24"/>
          <w:szCs w:val="24"/>
        </w:rPr>
        <w:t xml:space="preserve">. </w:t>
      </w:r>
    </w:p>
    <w:p w14:paraId="61343BD5" w14:textId="6F187A97" w:rsidR="00D543F4" w:rsidRPr="00A01C14" w:rsidRDefault="00D543F4" w:rsidP="00855BF5">
      <w:pPr>
        <w:pStyle w:val="ListParagraph"/>
        <w:numPr>
          <w:ilvl w:val="0"/>
          <w:numId w:val="6"/>
        </w:numPr>
        <w:spacing w:after="0" w:line="240" w:lineRule="auto"/>
        <w:ind w:left="270"/>
        <w:rPr>
          <w:rFonts w:cstheme="minorHAnsi"/>
          <w:sz w:val="24"/>
          <w:szCs w:val="24"/>
        </w:rPr>
      </w:pPr>
      <w:r w:rsidRPr="00A01C14">
        <w:rPr>
          <w:rFonts w:cstheme="minorHAnsi"/>
          <w:sz w:val="24"/>
          <w:szCs w:val="24"/>
        </w:rPr>
        <w:t>DO NOT use hypochlorite (bleach) to treat ethidium bromide. Bleach treatment can produce mutagenic products and leave behind up to 20% of the original ethidium bromide.</w:t>
      </w:r>
    </w:p>
    <w:p w14:paraId="2BE84A06" w14:textId="400423A1" w:rsidR="004078B8" w:rsidRPr="00A01C14" w:rsidRDefault="00765AB9" w:rsidP="00A01C14">
      <w:pPr>
        <w:pStyle w:val="Heading1"/>
        <w:spacing w:before="0" w:after="0"/>
        <w:jc w:val="left"/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</w:pPr>
      <w:r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  <w:t>A</w:t>
      </w:r>
      <w:r w:rsidR="004078B8"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  <w:t>lternatives</w:t>
      </w:r>
      <w:r w:rsidR="00947D06"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  <w:vertAlign w:val="superscript"/>
        </w:rPr>
        <w:t>2</w:t>
      </w:r>
      <w:r w:rsidR="0058634B"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  <w:vertAlign w:val="superscript"/>
        </w:rPr>
        <w:t>,3</w:t>
      </w:r>
    </w:p>
    <w:p w14:paraId="096C9463" w14:textId="0FB9E734" w:rsidR="004078B8" w:rsidRPr="00A01C14" w:rsidRDefault="009D38C4" w:rsidP="00855BF5">
      <w:pPr>
        <w:pStyle w:val="ListParagraph"/>
        <w:numPr>
          <w:ilvl w:val="0"/>
          <w:numId w:val="3"/>
        </w:numPr>
        <w:spacing w:after="0" w:line="240" w:lineRule="auto"/>
        <w:ind w:left="270"/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</w:pPr>
      <w:r w:rsidRPr="00A01C14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Alternative nucleic acid stains are available, such as SYBR Green I and Nancy-520. </w:t>
      </w:r>
      <w:r w:rsidR="00E97184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These are less hazardous than EtBr</w:t>
      </w:r>
      <w:r w:rsidR="0033735A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. However, </w:t>
      </w:r>
      <w:r w:rsidR="002B034D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due to their</w:t>
      </w:r>
      <w:r w:rsidR="0033735A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 high affinity binding to nucleic acids and the </w:t>
      </w:r>
      <w:r w:rsidR="00E97184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associated hazardous chemical properties (e.g. mutagenic, carcinogenic and acute toxicity)</w:t>
      </w:r>
      <w:r w:rsidR="0033735A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,</w:t>
      </w:r>
      <w:r w:rsidR="006E45CA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 </w:t>
      </w:r>
      <w:bookmarkStart w:id="0" w:name="_GoBack"/>
      <w:bookmarkEnd w:id="0"/>
      <w:r w:rsidR="0033735A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alternative nucleic acid stains </w:t>
      </w:r>
      <w:r w:rsidR="002B034D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should still</w:t>
      </w:r>
      <w:r w:rsidR="0033735A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 </w:t>
      </w:r>
      <w:r w:rsidR="002B034D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be </w:t>
      </w:r>
      <w:r w:rsidR="0033735A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handle</w:t>
      </w:r>
      <w:r w:rsidR="002B034D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d</w:t>
      </w:r>
      <w:r w:rsidR="0033735A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 as hazardous chemicals.</w:t>
      </w:r>
      <w:r w:rsidR="00E97184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 </w:t>
      </w:r>
    </w:p>
    <w:p w14:paraId="25854307" w14:textId="671C1E0B" w:rsidR="00947D06" w:rsidRPr="00A01C14" w:rsidRDefault="00E97184" w:rsidP="00855BF5">
      <w:pPr>
        <w:pStyle w:val="ListParagraph"/>
        <w:numPr>
          <w:ilvl w:val="0"/>
          <w:numId w:val="3"/>
        </w:numPr>
        <w:spacing w:after="0" w:line="240" w:lineRule="auto"/>
        <w:ind w:left="270"/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</w:pPr>
      <w:r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lastRenderedPageBreak/>
        <w:t>In addition, a</w:t>
      </w:r>
      <w:r w:rsidR="00947D06" w:rsidRPr="00A01C14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lternatives are typically supplied in dimethyl sulfoxide (DMSO)</w:t>
      </w:r>
      <w:r w:rsidR="003A5F1D" w:rsidRPr="00A01C14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, </w:t>
      </w:r>
      <w:r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a chemical </w:t>
      </w:r>
      <w:r w:rsidR="003A5F1D" w:rsidRPr="00A01C14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which</w:t>
      </w:r>
      <w:r w:rsidR="00947D06" w:rsidRPr="00A01C14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 </w:t>
      </w:r>
      <w:r w:rsidR="00DA2CD9" w:rsidRPr="00A01C14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easily absorbs through the skin, pulling along any toxic substances</w:t>
      </w:r>
      <w:r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 (from the stains)</w:t>
      </w:r>
      <w:r w:rsidR="00DA2CD9" w:rsidRPr="00A01C14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 mixed with it</w:t>
      </w:r>
      <w:r w:rsidR="00947D06" w:rsidRPr="00A01C14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. Refer to DMSO SDS to understand safety concerns.</w:t>
      </w:r>
    </w:p>
    <w:p w14:paraId="51BE48CB" w14:textId="08CD1BC0" w:rsidR="001B100D" w:rsidRPr="00A01C14" w:rsidRDefault="001B100D" w:rsidP="00855BF5">
      <w:pPr>
        <w:pStyle w:val="ListParagraph"/>
        <w:numPr>
          <w:ilvl w:val="0"/>
          <w:numId w:val="3"/>
        </w:numPr>
        <w:spacing w:after="0" w:line="240" w:lineRule="auto"/>
        <w:ind w:left="270"/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</w:pPr>
      <w:r w:rsidRPr="00A01C14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>Disposal of alternatives may still require</w:t>
      </w:r>
      <w:r w:rsidR="003A5F1D" w:rsidRPr="00A01C14">
        <w:rPr>
          <w:rStyle w:val="BookTitle"/>
          <w:rFonts w:cstheme="minorHAnsi"/>
          <w:b w:val="0"/>
          <w:bCs w:val="0"/>
          <w:smallCaps w:val="0"/>
          <w:spacing w:val="0"/>
          <w:sz w:val="24"/>
          <w:szCs w:val="24"/>
        </w:rPr>
        <w:t xml:space="preserve"> collection by OEHS.</w:t>
      </w:r>
    </w:p>
    <w:p w14:paraId="0BFB7AA0" w14:textId="4291A5D4" w:rsidR="00D02D12" w:rsidRPr="00A01C14" w:rsidRDefault="00765AB9" w:rsidP="00A01C14">
      <w:pPr>
        <w:pStyle w:val="Heading1"/>
        <w:spacing w:before="0" w:after="0"/>
        <w:jc w:val="left"/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</w:pPr>
      <w:r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  <w:t>E</w:t>
      </w:r>
      <w:r w:rsidR="006C658A"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  <w:t xml:space="preserve">xposure </w:t>
      </w:r>
      <w:r w:rsidR="00FC6CCA"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  <w:t>Response &amp; Contacts</w:t>
      </w:r>
    </w:p>
    <w:p w14:paraId="463A4B70" w14:textId="69CE866E" w:rsidR="000A6019" w:rsidRPr="00A01C14" w:rsidRDefault="003A5F1D" w:rsidP="00855BF5">
      <w:pPr>
        <w:pStyle w:val="ListParagraph"/>
        <w:numPr>
          <w:ilvl w:val="0"/>
          <w:numId w:val="4"/>
        </w:numPr>
        <w:spacing w:after="0" w:line="240" w:lineRule="auto"/>
        <w:ind w:left="270"/>
        <w:rPr>
          <w:rFonts w:cstheme="minorHAnsi"/>
          <w:sz w:val="24"/>
          <w:szCs w:val="24"/>
        </w:rPr>
      </w:pPr>
      <w:r w:rsidRPr="00A01C14">
        <w:rPr>
          <w:rFonts w:cstheme="minorHAnsi"/>
          <w:b/>
          <w:sz w:val="24"/>
          <w:szCs w:val="24"/>
        </w:rPr>
        <w:t>Contact with eyes:</w:t>
      </w:r>
      <w:r w:rsidRPr="00A01C14">
        <w:rPr>
          <w:rFonts w:cstheme="minorHAnsi"/>
          <w:sz w:val="24"/>
          <w:szCs w:val="24"/>
        </w:rPr>
        <w:t xml:space="preserve"> immediately flush with copious amoun</w:t>
      </w:r>
      <w:r w:rsidR="000A6019" w:rsidRPr="00A01C14">
        <w:rPr>
          <w:rFonts w:cstheme="minorHAnsi"/>
          <w:sz w:val="24"/>
          <w:szCs w:val="24"/>
        </w:rPr>
        <w:t>t of cold water for at least 15 minutes</w:t>
      </w:r>
    </w:p>
    <w:p w14:paraId="02EB4EA0" w14:textId="52EC16FA" w:rsidR="003A5F1D" w:rsidRPr="00A01C14" w:rsidRDefault="003A5F1D" w:rsidP="00855BF5">
      <w:pPr>
        <w:pStyle w:val="ListParagraph"/>
        <w:numPr>
          <w:ilvl w:val="0"/>
          <w:numId w:val="4"/>
        </w:numPr>
        <w:spacing w:after="0" w:line="240" w:lineRule="auto"/>
        <w:ind w:left="270"/>
        <w:rPr>
          <w:rFonts w:cstheme="minorHAnsi"/>
          <w:sz w:val="24"/>
          <w:szCs w:val="24"/>
        </w:rPr>
      </w:pPr>
      <w:r w:rsidRPr="00A01C14">
        <w:rPr>
          <w:rFonts w:cstheme="minorHAnsi"/>
          <w:b/>
          <w:sz w:val="24"/>
          <w:szCs w:val="24"/>
        </w:rPr>
        <w:t>Skin contact:</w:t>
      </w:r>
      <w:r w:rsidRPr="00A01C14">
        <w:rPr>
          <w:rFonts w:cstheme="minorHAnsi"/>
          <w:sz w:val="24"/>
          <w:szCs w:val="24"/>
        </w:rPr>
        <w:t xml:space="preserve"> immediately wash the affected area with copious amounts of cool water.</w:t>
      </w:r>
    </w:p>
    <w:p w14:paraId="183412D0" w14:textId="77777777" w:rsidR="00F27EB5" w:rsidRPr="00A01C14" w:rsidRDefault="004078B8" w:rsidP="00855BF5">
      <w:pPr>
        <w:pStyle w:val="ListParagraph"/>
        <w:numPr>
          <w:ilvl w:val="0"/>
          <w:numId w:val="4"/>
        </w:numPr>
        <w:spacing w:after="0" w:line="240" w:lineRule="auto"/>
        <w:ind w:left="270"/>
        <w:rPr>
          <w:rFonts w:cstheme="minorHAnsi"/>
          <w:sz w:val="24"/>
          <w:szCs w:val="24"/>
        </w:rPr>
      </w:pPr>
      <w:r w:rsidRPr="00A01C14">
        <w:rPr>
          <w:rFonts w:cstheme="minorHAnsi"/>
          <w:b/>
          <w:sz w:val="24"/>
          <w:szCs w:val="24"/>
        </w:rPr>
        <w:t>Principal Investigator (PI):</w:t>
      </w:r>
      <w:r w:rsidRPr="00A01C14">
        <w:rPr>
          <w:rFonts w:cstheme="minorHAnsi"/>
          <w:sz w:val="24"/>
          <w:szCs w:val="24"/>
        </w:rPr>
        <w:t xml:space="preserve"> </w:t>
      </w:r>
      <w:r w:rsidRPr="00A01C14">
        <w:rPr>
          <w:rFonts w:cstheme="minorHAnsi"/>
          <w:i/>
          <w:sz w:val="24"/>
          <w:szCs w:val="24"/>
        </w:rPr>
        <w:t>(Add relevant phone number)</w:t>
      </w:r>
    </w:p>
    <w:p w14:paraId="20C2825E" w14:textId="77777777" w:rsidR="00A679B8" w:rsidRPr="00A01C14" w:rsidRDefault="00A679B8" w:rsidP="00855BF5">
      <w:pPr>
        <w:pStyle w:val="ListParagraph"/>
        <w:numPr>
          <w:ilvl w:val="0"/>
          <w:numId w:val="4"/>
        </w:numPr>
        <w:spacing w:after="0" w:line="240" w:lineRule="auto"/>
        <w:ind w:left="270"/>
        <w:rPr>
          <w:rFonts w:cstheme="minorHAnsi"/>
          <w:sz w:val="24"/>
          <w:szCs w:val="24"/>
        </w:rPr>
      </w:pPr>
      <w:r w:rsidRPr="00A01C14">
        <w:rPr>
          <w:rFonts w:cstheme="minorHAnsi"/>
          <w:b/>
          <w:sz w:val="24"/>
          <w:szCs w:val="24"/>
        </w:rPr>
        <w:t xml:space="preserve">WSU Public Safety: </w:t>
      </w:r>
      <w:r w:rsidRPr="00A01C14">
        <w:rPr>
          <w:rFonts w:cstheme="minorHAnsi"/>
          <w:sz w:val="24"/>
          <w:szCs w:val="24"/>
        </w:rPr>
        <w:t>313-577-2222, emergency transportation</w:t>
      </w:r>
    </w:p>
    <w:p w14:paraId="6B5D4DB7" w14:textId="77777777" w:rsidR="00371DCF" w:rsidRPr="00ED7E73" w:rsidRDefault="00371DCF" w:rsidP="00371DC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ED7E73">
        <w:rPr>
          <w:rFonts w:cstheme="minorHAnsi"/>
          <w:b/>
          <w:sz w:val="24"/>
          <w:szCs w:val="24"/>
        </w:rPr>
        <w:t>Henry Ford Occupational Health – Harbortown</w:t>
      </w:r>
    </w:p>
    <w:p w14:paraId="757B64B5" w14:textId="77777777" w:rsidR="00371DCF" w:rsidRPr="00ED7E73" w:rsidRDefault="00371DCF" w:rsidP="00371DCF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ED7E73">
        <w:rPr>
          <w:rFonts w:cstheme="minorHAnsi"/>
          <w:sz w:val="24"/>
          <w:szCs w:val="24"/>
        </w:rPr>
        <w:t>3300 East Jefferson, Suite 100</w:t>
      </w:r>
    </w:p>
    <w:p w14:paraId="19D35E14" w14:textId="77777777" w:rsidR="00371DCF" w:rsidRPr="00ED7E73" w:rsidRDefault="00371DCF" w:rsidP="00371DCF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ED7E73">
        <w:rPr>
          <w:rFonts w:cstheme="minorHAnsi"/>
          <w:sz w:val="24"/>
          <w:szCs w:val="24"/>
        </w:rPr>
        <w:t>Detroit MI 48207</w:t>
      </w:r>
    </w:p>
    <w:p w14:paraId="5CCCF583" w14:textId="77777777" w:rsidR="00371DCF" w:rsidRPr="00ED7E73" w:rsidRDefault="00371DCF" w:rsidP="00371DCF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ED7E73">
        <w:rPr>
          <w:rFonts w:cstheme="minorHAnsi"/>
          <w:sz w:val="24"/>
          <w:szCs w:val="24"/>
        </w:rPr>
        <w:t>(313) 656-1618</w:t>
      </w:r>
    </w:p>
    <w:p w14:paraId="3DF39109" w14:textId="77777777" w:rsidR="00371DCF" w:rsidRPr="00ED7E73" w:rsidRDefault="00371DCF" w:rsidP="00371DCF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ED7E73">
        <w:rPr>
          <w:rFonts w:cstheme="minorHAnsi"/>
          <w:sz w:val="24"/>
          <w:szCs w:val="24"/>
        </w:rPr>
        <w:t>Monday – Friday 8:00 AM to 6:30 PM</w:t>
      </w:r>
    </w:p>
    <w:p w14:paraId="440FD611" w14:textId="77777777" w:rsidR="00371DCF" w:rsidRDefault="00371DCF" w:rsidP="00371DCF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AC03E1">
        <w:rPr>
          <w:rFonts w:cstheme="minorHAnsi"/>
          <w:b/>
          <w:sz w:val="24"/>
          <w:szCs w:val="24"/>
        </w:rPr>
        <w:t xml:space="preserve">Detroit Receiving Hospital </w:t>
      </w:r>
      <w:r>
        <w:rPr>
          <w:rFonts w:cstheme="minorHAnsi"/>
          <w:b/>
          <w:sz w:val="24"/>
          <w:szCs w:val="24"/>
        </w:rPr>
        <w:t xml:space="preserve">- </w:t>
      </w:r>
      <w:r w:rsidRPr="00AC03E1">
        <w:rPr>
          <w:rFonts w:cstheme="minorHAnsi"/>
          <w:b/>
          <w:sz w:val="24"/>
          <w:szCs w:val="24"/>
        </w:rPr>
        <w:t>E</w:t>
      </w:r>
      <w:r>
        <w:rPr>
          <w:rFonts w:cstheme="minorHAnsi"/>
          <w:b/>
          <w:sz w:val="24"/>
          <w:szCs w:val="24"/>
        </w:rPr>
        <w:t xml:space="preserve">mergency </w:t>
      </w:r>
      <w:r w:rsidRPr="00AC03E1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</w:rPr>
        <w:t>oom</w:t>
      </w:r>
      <w:r w:rsidRPr="00AC03E1">
        <w:rPr>
          <w:rFonts w:cstheme="minorHAnsi"/>
          <w:b/>
          <w:sz w:val="24"/>
          <w:szCs w:val="24"/>
        </w:rPr>
        <w:t>:</w:t>
      </w:r>
      <w:r w:rsidRPr="00AC03E1">
        <w:rPr>
          <w:rFonts w:cstheme="minorHAnsi"/>
          <w:sz w:val="24"/>
          <w:szCs w:val="24"/>
        </w:rPr>
        <w:t xml:space="preserve"> 313-745-3355</w:t>
      </w:r>
    </w:p>
    <w:p w14:paraId="2E94352D" w14:textId="77777777" w:rsidR="00371DCF" w:rsidRDefault="00371DCF" w:rsidP="00371DCF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ED7E73">
        <w:rPr>
          <w:rFonts w:cstheme="minorHAnsi"/>
          <w:b/>
          <w:sz w:val="24"/>
          <w:szCs w:val="24"/>
        </w:rPr>
        <w:t>Henry Ford Hospital – Emergency Room</w:t>
      </w:r>
      <w:r>
        <w:rPr>
          <w:rFonts w:cstheme="minorHAnsi"/>
          <w:sz w:val="24"/>
          <w:szCs w:val="24"/>
        </w:rPr>
        <w:t>: 313-916-8742</w:t>
      </w:r>
    </w:p>
    <w:p w14:paraId="42E5AF11" w14:textId="5EB480FA" w:rsidR="00A679B8" w:rsidRPr="00A01C14" w:rsidRDefault="00371DCF" w:rsidP="00371DCF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AC03E1">
        <w:rPr>
          <w:rFonts w:cstheme="minorHAnsi"/>
          <w:sz w:val="24"/>
          <w:szCs w:val="24"/>
        </w:rPr>
        <w:t xml:space="preserve">vailable outside of </w:t>
      </w:r>
      <w:r>
        <w:rPr>
          <w:rFonts w:cstheme="minorHAnsi"/>
          <w:sz w:val="24"/>
          <w:szCs w:val="24"/>
        </w:rPr>
        <w:t>occupational health clinic</w:t>
      </w:r>
      <w:r w:rsidRPr="00AC03E1">
        <w:rPr>
          <w:rFonts w:cstheme="minorHAnsi"/>
          <w:sz w:val="24"/>
          <w:szCs w:val="24"/>
        </w:rPr>
        <w:t xml:space="preserve"> hours</w:t>
      </w:r>
    </w:p>
    <w:p w14:paraId="0079F9C5" w14:textId="77777777" w:rsidR="00A679B8" w:rsidRPr="00A01C14" w:rsidRDefault="00A679B8" w:rsidP="00855BF5">
      <w:pPr>
        <w:pStyle w:val="ListParagraph"/>
        <w:numPr>
          <w:ilvl w:val="0"/>
          <w:numId w:val="4"/>
        </w:numPr>
        <w:spacing w:after="0" w:line="240" w:lineRule="auto"/>
        <w:ind w:left="270"/>
        <w:rPr>
          <w:rFonts w:cstheme="minorHAnsi"/>
          <w:sz w:val="24"/>
          <w:szCs w:val="24"/>
        </w:rPr>
      </w:pPr>
      <w:r w:rsidRPr="00A01C14">
        <w:rPr>
          <w:rFonts w:cstheme="minorHAnsi"/>
          <w:b/>
          <w:sz w:val="24"/>
          <w:szCs w:val="24"/>
        </w:rPr>
        <w:t>Office of Environmental Health and Safety:</w:t>
      </w:r>
      <w:r w:rsidRPr="00A01C14">
        <w:rPr>
          <w:rFonts w:cstheme="minorHAnsi"/>
          <w:sz w:val="24"/>
          <w:szCs w:val="24"/>
        </w:rPr>
        <w:t xml:space="preserve"> 313-577-1200, spills or clean-up</w:t>
      </w:r>
    </w:p>
    <w:p w14:paraId="626F9ED4" w14:textId="79C67794" w:rsidR="006C658A" w:rsidRPr="00A01C14" w:rsidRDefault="00765AB9" w:rsidP="00A01C14">
      <w:pPr>
        <w:pStyle w:val="Heading1"/>
        <w:spacing w:before="0" w:after="0"/>
        <w:jc w:val="left"/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</w:pPr>
      <w:r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  <w:t>R</w:t>
      </w:r>
      <w:r w:rsidR="006C658A" w:rsidRPr="00A01C14">
        <w:rPr>
          <w:rStyle w:val="BookTitle"/>
          <w:rFonts w:asciiTheme="minorHAnsi" w:hAnsiTheme="minorHAnsi" w:cstheme="minorHAnsi"/>
          <w:b w:val="0"/>
          <w:bCs w:val="0"/>
          <w:smallCaps w:val="0"/>
          <w:spacing w:val="0"/>
          <w:sz w:val="24"/>
          <w:szCs w:val="24"/>
        </w:rPr>
        <w:t>eferences</w:t>
      </w:r>
    </w:p>
    <w:p w14:paraId="6F2D27EB" w14:textId="77777777" w:rsidR="0058634B" w:rsidRPr="00A01C14" w:rsidRDefault="0058634B" w:rsidP="00A01C14">
      <w:pPr>
        <w:pStyle w:val="ListParagraph"/>
        <w:numPr>
          <w:ilvl w:val="0"/>
          <w:numId w:val="5"/>
        </w:numPr>
        <w:spacing w:after="0" w:line="240" w:lineRule="auto"/>
        <w:rPr>
          <w:rStyle w:val="BookTitle"/>
          <w:rFonts w:cstheme="minorHAnsi"/>
          <w:b w:val="0"/>
          <w:sz w:val="24"/>
          <w:szCs w:val="24"/>
        </w:rPr>
      </w:pPr>
      <w:r w:rsidRPr="00A01C14">
        <w:rPr>
          <w:rStyle w:val="BookTitle"/>
          <w:rFonts w:cstheme="minorHAnsi"/>
          <w:b w:val="0"/>
          <w:sz w:val="24"/>
          <w:szCs w:val="24"/>
        </w:rPr>
        <w:t>Lunn, G., &amp; Sansone, E. (1987, May). Ethidium bromide: destruction and decontamination of solutions. Analytical Biochemistry, 162(1), 453-8.</w:t>
      </w:r>
    </w:p>
    <w:p w14:paraId="3261662C" w14:textId="77777777" w:rsidR="004907D8" w:rsidRPr="00A01C14" w:rsidRDefault="004907D8" w:rsidP="00A01C14">
      <w:pPr>
        <w:pStyle w:val="ListParagraph"/>
        <w:numPr>
          <w:ilvl w:val="0"/>
          <w:numId w:val="5"/>
        </w:numPr>
        <w:spacing w:after="0" w:line="240" w:lineRule="auto"/>
        <w:rPr>
          <w:rStyle w:val="BookTitle"/>
          <w:rFonts w:cstheme="minorHAnsi"/>
          <w:b w:val="0"/>
          <w:sz w:val="24"/>
          <w:szCs w:val="24"/>
        </w:rPr>
      </w:pPr>
      <w:r w:rsidRPr="00A01C14">
        <w:rPr>
          <w:rStyle w:val="BookTitle"/>
          <w:rFonts w:cstheme="minorHAnsi"/>
          <w:b w:val="0"/>
          <w:sz w:val="24"/>
          <w:szCs w:val="24"/>
        </w:rPr>
        <w:t xml:space="preserve">CCRIS 8512 - SYBR Green I. (2018). </w:t>
      </w:r>
      <w:hyperlink r:id="rId15" w:history="1">
        <w:r w:rsidR="003A5F1D" w:rsidRPr="00A01C14">
          <w:rPr>
            <w:rStyle w:val="Hyperlink"/>
            <w:rFonts w:cstheme="minorHAnsi"/>
            <w:spacing w:val="5"/>
            <w:sz w:val="24"/>
            <w:szCs w:val="24"/>
          </w:rPr>
          <w:t>from PubChem</w:t>
        </w:r>
      </w:hyperlink>
    </w:p>
    <w:p w14:paraId="5D996CF1" w14:textId="01236BD3" w:rsidR="006C658A" w:rsidRPr="00A01C14" w:rsidRDefault="006D0F07" w:rsidP="00A01C14">
      <w:pPr>
        <w:pStyle w:val="ListParagraph"/>
        <w:numPr>
          <w:ilvl w:val="0"/>
          <w:numId w:val="5"/>
        </w:numPr>
        <w:spacing w:after="0" w:line="240" w:lineRule="auto"/>
        <w:rPr>
          <w:rStyle w:val="BookTitle"/>
          <w:rFonts w:cstheme="minorHAnsi"/>
          <w:b w:val="0"/>
          <w:sz w:val="24"/>
          <w:szCs w:val="24"/>
        </w:rPr>
      </w:pPr>
      <w:r w:rsidRPr="00A01C14">
        <w:rPr>
          <w:rStyle w:val="BookTitle"/>
          <w:rFonts w:cstheme="minorHAnsi"/>
          <w:b w:val="0"/>
          <w:sz w:val="24"/>
          <w:szCs w:val="24"/>
        </w:rPr>
        <w:t>nucleic acid gel stain</w:t>
      </w:r>
      <w:r w:rsidR="00086747" w:rsidRPr="00A01C14">
        <w:rPr>
          <w:rStyle w:val="BookTitle"/>
          <w:rFonts w:cstheme="minorHAnsi"/>
          <w:b w:val="0"/>
          <w:sz w:val="24"/>
          <w:szCs w:val="24"/>
        </w:rPr>
        <w:t>s</w:t>
      </w:r>
      <w:r w:rsidRPr="00A01C14">
        <w:rPr>
          <w:rStyle w:val="BookTitle"/>
          <w:rFonts w:cstheme="minorHAnsi"/>
          <w:b w:val="0"/>
          <w:sz w:val="24"/>
          <w:szCs w:val="24"/>
        </w:rPr>
        <w:t xml:space="preserve">. (2019). </w:t>
      </w:r>
      <w:hyperlink r:id="rId16" w:history="1">
        <w:r w:rsidR="003A5F1D" w:rsidRPr="00A01C14">
          <w:rPr>
            <w:rStyle w:val="Hyperlink"/>
            <w:rFonts w:cstheme="minorHAnsi"/>
            <w:spacing w:val="5"/>
            <w:sz w:val="24"/>
            <w:szCs w:val="24"/>
          </w:rPr>
          <w:t>from Millipore Sigma</w:t>
        </w:r>
      </w:hyperlink>
    </w:p>
    <w:sectPr w:rsidR="006C658A" w:rsidRPr="00A01C14" w:rsidSect="00A01C14">
      <w:headerReference w:type="default" r:id="rId17"/>
      <w:footerReference w:type="default" r:id="rId18"/>
      <w:type w:val="continuous"/>
      <w:pgSz w:w="12240" w:h="15840"/>
      <w:pgMar w:top="720" w:right="720" w:bottom="720" w:left="720" w:header="576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FE02" w14:textId="77777777" w:rsidR="00137B1C" w:rsidRDefault="00137B1C" w:rsidP="00ED523C">
      <w:pPr>
        <w:spacing w:after="0" w:line="240" w:lineRule="auto"/>
      </w:pPr>
      <w:r>
        <w:separator/>
      </w:r>
    </w:p>
  </w:endnote>
  <w:endnote w:type="continuationSeparator" w:id="0">
    <w:p w14:paraId="30733D7C" w14:textId="77777777" w:rsidR="00137B1C" w:rsidRDefault="00137B1C" w:rsidP="00E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44566" w14:textId="5D7D5CF0" w:rsidR="00DC1BD4" w:rsidRPr="00AD32E8" w:rsidRDefault="00B23A4D">
    <w:pPr>
      <w:pStyle w:val="Footer"/>
      <w:rPr>
        <w:sz w:val="20"/>
        <w:szCs w:val="20"/>
      </w:rPr>
    </w:pPr>
    <w:r w:rsidRPr="00AD32E8">
      <w:rPr>
        <w:sz w:val="20"/>
        <w:szCs w:val="20"/>
      </w:rPr>
      <w:t>Office of Environmental He</w:t>
    </w:r>
    <w:r w:rsidR="00AD32E8" w:rsidRPr="00AD32E8">
      <w:rPr>
        <w:sz w:val="20"/>
        <w:szCs w:val="20"/>
      </w:rPr>
      <w:t>alth &amp; Safety at (313) 577 1200</w:t>
    </w:r>
    <w:r w:rsidR="00FC6CCA">
      <w:rPr>
        <w:sz w:val="20"/>
        <w:szCs w:val="20"/>
      </w:rPr>
      <w:t xml:space="preserve"> - Rev 3/25/2020</w:t>
    </w:r>
    <w:r w:rsidR="00FC6CCA">
      <w:rPr>
        <w:sz w:val="20"/>
        <w:szCs w:val="20"/>
      </w:rPr>
      <w:tab/>
    </w:r>
    <w:r w:rsidR="00AD32E8">
      <w:rPr>
        <w:sz w:val="20"/>
        <w:szCs w:val="20"/>
      </w:rPr>
      <w:t xml:space="preserve"> </w:t>
    </w:r>
    <w:r w:rsidR="0042312C" w:rsidRPr="0042312C">
      <w:rPr>
        <w:sz w:val="20"/>
        <w:szCs w:val="20"/>
      </w:rPr>
      <w:t>19-009F_FactSheet EtBr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8C7F6" w14:textId="77777777" w:rsidR="00137B1C" w:rsidRDefault="00137B1C" w:rsidP="00ED523C">
      <w:pPr>
        <w:spacing w:after="0" w:line="240" w:lineRule="auto"/>
      </w:pPr>
      <w:r>
        <w:separator/>
      </w:r>
    </w:p>
  </w:footnote>
  <w:footnote w:type="continuationSeparator" w:id="0">
    <w:p w14:paraId="0BE1C789" w14:textId="77777777" w:rsidR="00137B1C" w:rsidRDefault="00137B1C" w:rsidP="00E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BD637" w14:textId="67905F04" w:rsidR="00F90D50" w:rsidRDefault="00086747" w:rsidP="00A01C14">
    <w:pPr>
      <w:pStyle w:val="Header"/>
      <w:jc w:val="center"/>
    </w:pPr>
    <w:r>
      <w:rPr>
        <w:rFonts w:ascii="Helvetica" w:hAnsi="Helvetica"/>
        <w:noProof/>
        <w:color w:val="0A483F"/>
      </w:rPr>
      <w:drawing>
        <wp:inline distT="0" distB="0" distL="0" distR="0" wp14:anchorId="1972EA1E" wp14:editId="6EAF92B4">
          <wp:extent cx="1428750" cy="333375"/>
          <wp:effectExtent l="0" t="0" r="0" b="9525"/>
          <wp:docPr id="4" name="Picture 4" descr="Wayne State University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yne State University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1C14">
      <w:tab/>
    </w:r>
    <w:r w:rsidR="00A01C14">
      <w:tab/>
    </w:r>
    <w:r w:rsidR="00A01C14">
      <w:rPr>
        <w:noProof/>
      </w:rPr>
      <w:drawing>
        <wp:inline distT="0" distB="0" distL="0" distR="0" wp14:anchorId="578B6648" wp14:editId="14A1B0AF">
          <wp:extent cx="666750" cy="502920"/>
          <wp:effectExtent l="0" t="0" r="0" b="0"/>
          <wp:docPr id="2" name="Picture 2" descr="Office of Environmental Health and Safety logo" title="Envrionmental Health Safety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ehslogo-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7246"/>
    <w:multiLevelType w:val="hybridMultilevel"/>
    <w:tmpl w:val="6A6880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F4334"/>
    <w:multiLevelType w:val="hybridMultilevel"/>
    <w:tmpl w:val="A9FCB9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2B7372"/>
    <w:multiLevelType w:val="hybridMultilevel"/>
    <w:tmpl w:val="6F7A2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2384F"/>
    <w:multiLevelType w:val="hybridMultilevel"/>
    <w:tmpl w:val="F6C0ED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7F36EF"/>
    <w:multiLevelType w:val="hybridMultilevel"/>
    <w:tmpl w:val="4B6A71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D32B0B"/>
    <w:multiLevelType w:val="hybridMultilevel"/>
    <w:tmpl w:val="7FF41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1NjEzMLYwNzO0MDVW0lEKTi0uzszPAykwrgUAWbBhmCwAAAA="/>
  </w:docVars>
  <w:rsids>
    <w:rsidRoot w:val="00ED5378"/>
    <w:rsid w:val="00011827"/>
    <w:rsid w:val="0003476B"/>
    <w:rsid w:val="0003590E"/>
    <w:rsid w:val="00043E47"/>
    <w:rsid w:val="00060B29"/>
    <w:rsid w:val="00062583"/>
    <w:rsid w:val="00062DF6"/>
    <w:rsid w:val="00063E09"/>
    <w:rsid w:val="00070410"/>
    <w:rsid w:val="000766E4"/>
    <w:rsid w:val="00086747"/>
    <w:rsid w:val="000875ED"/>
    <w:rsid w:val="000A6019"/>
    <w:rsid w:val="000C0537"/>
    <w:rsid w:val="000C1B01"/>
    <w:rsid w:val="000D1F11"/>
    <w:rsid w:val="00121B21"/>
    <w:rsid w:val="00135E4C"/>
    <w:rsid w:val="00137B1C"/>
    <w:rsid w:val="00146EF8"/>
    <w:rsid w:val="00160568"/>
    <w:rsid w:val="0016212D"/>
    <w:rsid w:val="001A41AC"/>
    <w:rsid w:val="001B100D"/>
    <w:rsid w:val="001B5986"/>
    <w:rsid w:val="001E0058"/>
    <w:rsid w:val="001E12FF"/>
    <w:rsid w:val="0021196A"/>
    <w:rsid w:val="0021263E"/>
    <w:rsid w:val="002159CB"/>
    <w:rsid w:val="00216733"/>
    <w:rsid w:val="00217A23"/>
    <w:rsid w:val="00227308"/>
    <w:rsid w:val="00237265"/>
    <w:rsid w:val="00242DCE"/>
    <w:rsid w:val="00244458"/>
    <w:rsid w:val="002602AC"/>
    <w:rsid w:val="00262BA3"/>
    <w:rsid w:val="002726C7"/>
    <w:rsid w:val="002859A7"/>
    <w:rsid w:val="00292AF3"/>
    <w:rsid w:val="00297E84"/>
    <w:rsid w:val="002B034D"/>
    <w:rsid w:val="002B78CF"/>
    <w:rsid w:val="002B7B8D"/>
    <w:rsid w:val="002E1780"/>
    <w:rsid w:val="002F171C"/>
    <w:rsid w:val="002F4DB7"/>
    <w:rsid w:val="00307A7D"/>
    <w:rsid w:val="003149CB"/>
    <w:rsid w:val="003302B7"/>
    <w:rsid w:val="0033280F"/>
    <w:rsid w:val="0033735A"/>
    <w:rsid w:val="003409D0"/>
    <w:rsid w:val="00357B16"/>
    <w:rsid w:val="003713AC"/>
    <w:rsid w:val="00371DCF"/>
    <w:rsid w:val="003753E5"/>
    <w:rsid w:val="00375796"/>
    <w:rsid w:val="003979CE"/>
    <w:rsid w:val="003A5F1D"/>
    <w:rsid w:val="003E2FFB"/>
    <w:rsid w:val="003E3840"/>
    <w:rsid w:val="003F0E41"/>
    <w:rsid w:val="004006BC"/>
    <w:rsid w:val="004078B8"/>
    <w:rsid w:val="0042238B"/>
    <w:rsid w:val="0042312C"/>
    <w:rsid w:val="004266EB"/>
    <w:rsid w:val="00445FCD"/>
    <w:rsid w:val="00483657"/>
    <w:rsid w:val="004907D8"/>
    <w:rsid w:val="004C13EF"/>
    <w:rsid w:val="004E1580"/>
    <w:rsid w:val="004F3084"/>
    <w:rsid w:val="004F551E"/>
    <w:rsid w:val="00506ADF"/>
    <w:rsid w:val="00514FDF"/>
    <w:rsid w:val="00546536"/>
    <w:rsid w:val="00550366"/>
    <w:rsid w:val="00565BAD"/>
    <w:rsid w:val="00571FA6"/>
    <w:rsid w:val="00576699"/>
    <w:rsid w:val="00581047"/>
    <w:rsid w:val="0058634B"/>
    <w:rsid w:val="0059009F"/>
    <w:rsid w:val="0059295C"/>
    <w:rsid w:val="006067CC"/>
    <w:rsid w:val="006236EF"/>
    <w:rsid w:val="00652E0E"/>
    <w:rsid w:val="00665ACC"/>
    <w:rsid w:val="0067141B"/>
    <w:rsid w:val="00673483"/>
    <w:rsid w:val="006A6097"/>
    <w:rsid w:val="006B730B"/>
    <w:rsid w:val="006C5291"/>
    <w:rsid w:val="006C658A"/>
    <w:rsid w:val="006C79F7"/>
    <w:rsid w:val="006D0F07"/>
    <w:rsid w:val="006E45CA"/>
    <w:rsid w:val="006E6D4A"/>
    <w:rsid w:val="007269E6"/>
    <w:rsid w:val="00735C53"/>
    <w:rsid w:val="00743240"/>
    <w:rsid w:val="007574E8"/>
    <w:rsid w:val="00763AA9"/>
    <w:rsid w:val="00764C51"/>
    <w:rsid w:val="00764FE0"/>
    <w:rsid w:val="00765AB9"/>
    <w:rsid w:val="007727D5"/>
    <w:rsid w:val="0079196E"/>
    <w:rsid w:val="0079367D"/>
    <w:rsid w:val="0079500B"/>
    <w:rsid w:val="007A0C0A"/>
    <w:rsid w:val="007B2E0B"/>
    <w:rsid w:val="007B39A2"/>
    <w:rsid w:val="007C5786"/>
    <w:rsid w:val="007D5445"/>
    <w:rsid w:val="007F0696"/>
    <w:rsid w:val="007F5A70"/>
    <w:rsid w:val="007F7AC5"/>
    <w:rsid w:val="008076BC"/>
    <w:rsid w:val="008106CE"/>
    <w:rsid w:val="00816D97"/>
    <w:rsid w:val="008230D5"/>
    <w:rsid w:val="0082475D"/>
    <w:rsid w:val="00830507"/>
    <w:rsid w:val="00846DD7"/>
    <w:rsid w:val="00855BF5"/>
    <w:rsid w:val="00860917"/>
    <w:rsid w:val="008731C3"/>
    <w:rsid w:val="00880644"/>
    <w:rsid w:val="00885E2E"/>
    <w:rsid w:val="008901E7"/>
    <w:rsid w:val="008B795D"/>
    <w:rsid w:val="008E705A"/>
    <w:rsid w:val="008F3F30"/>
    <w:rsid w:val="00911F18"/>
    <w:rsid w:val="00924128"/>
    <w:rsid w:val="00947D06"/>
    <w:rsid w:val="009650CF"/>
    <w:rsid w:val="0097391A"/>
    <w:rsid w:val="00986675"/>
    <w:rsid w:val="00987FF2"/>
    <w:rsid w:val="00992B81"/>
    <w:rsid w:val="009B7138"/>
    <w:rsid w:val="009C7C52"/>
    <w:rsid w:val="009D312A"/>
    <w:rsid w:val="009D38C4"/>
    <w:rsid w:val="009D6659"/>
    <w:rsid w:val="009E103D"/>
    <w:rsid w:val="009F10ED"/>
    <w:rsid w:val="00A01C14"/>
    <w:rsid w:val="00A073EB"/>
    <w:rsid w:val="00A259AC"/>
    <w:rsid w:val="00A2643C"/>
    <w:rsid w:val="00A5396F"/>
    <w:rsid w:val="00A54193"/>
    <w:rsid w:val="00A679B8"/>
    <w:rsid w:val="00AB6721"/>
    <w:rsid w:val="00AC2B6E"/>
    <w:rsid w:val="00AC3A1F"/>
    <w:rsid w:val="00AD09D0"/>
    <w:rsid w:val="00AD32E8"/>
    <w:rsid w:val="00AD4DE3"/>
    <w:rsid w:val="00AD7B70"/>
    <w:rsid w:val="00AF2F5A"/>
    <w:rsid w:val="00AF4104"/>
    <w:rsid w:val="00B23A4D"/>
    <w:rsid w:val="00B26CE7"/>
    <w:rsid w:val="00B472CC"/>
    <w:rsid w:val="00B638C0"/>
    <w:rsid w:val="00B642E6"/>
    <w:rsid w:val="00B76518"/>
    <w:rsid w:val="00B768E6"/>
    <w:rsid w:val="00B7733E"/>
    <w:rsid w:val="00BA15F4"/>
    <w:rsid w:val="00BA1651"/>
    <w:rsid w:val="00BD4478"/>
    <w:rsid w:val="00BE5EC8"/>
    <w:rsid w:val="00C0209D"/>
    <w:rsid w:val="00C32935"/>
    <w:rsid w:val="00C40599"/>
    <w:rsid w:val="00C43D46"/>
    <w:rsid w:val="00C517FA"/>
    <w:rsid w:val="00C539F4"/>
    <w:rsid w:val="00C542CF"/>
    <w:rsid w:val="00C5651B"/>
    <w:rsid w:val="00C568C9"/>
    <w:rsid w:val="00C5758B"/>
    <w:rsid w:val="00C6462C"/>
    <w:rsid w:val="00C711E0"/>
    <w:rsid w:val="00C74264"/>
    <w:rsid w:val="00C9064A"/>
    <w:rsid w:val="00C90F63"/>
    <w:rsid w:val="00C97CBE"/>
    <w:rsid w:val="00CB55EE"/>
    <w:rsid w:val="00CC3028"/>
    <w:rsid w:val="00CD176F"/>
    <w:rsid w:val="00CD5A74"/>
    <w:rsid w:val="00CF430E"/>
    <w:rsid w:val="00D00A6E"/>
    <w:rsid w:val="00D01BE8"/>
    <w:rsid w:val="00D02D12"/>
    <w:rsid w:val="00D0391A"/>
    <w:rsid w:val="00D04670"/>
    <w:rsid w:val="00D10CBF"/>
    <w:rsid w:val="00D268EA"/>
    <w:rsid w:val="00D510FD"/>
    <w:rsid w:val="00D543F4"/>
    <w:rsid w:val="00D574E5"/>
    <w:rsid w:val="00D71A05"/>
    <w:rsid w:val="00D74615"/>
    <w:rsid w:val="00D801AA"/>
    <w:rsid w:val="00DA0071"/>
    <w:rsid w:val="00DA2CD9"/>
    <w:rsid w:val="00DA5981"/>
    <w:rsid w:val="00DB490F"/>
    <w:rsid w:val="00DC1BD4"/>
    <w:rsid w:val="00DD558A"/>
    <w:rsid w:val="00DE7531"/>
    <w:rsid w:val="00E00A95"/>
    <w:rsid w:val="00E15ADE"/>
    <w:rsid w:val="00E5612C"/>
    <w:rsid w:val="00E5696C"/>
    <w:rsid w:val="00E7785F"/>
    <w:rsid w:val="00E843F8"/>
    <w:rsid w:val="00E93FB5"/>
    <w:rsid w:val="00E97184"/>
    <w:rsid w:val="00E97B78"/>
    <w:rsid w:val="00EC5BD3"/>
    <w:rsid w:val="00ED1B85"/>
    <w:rsid w:val="00ED523C"/>
    <w:rsid w:val="00ED5378"/>
    <w:rsid w:val="00EE097B"/>
    <w:rsid w:val="00F001DA"/>
    <w:rsid w:val="00F27EB5"/>
    <w:rsid w:val="00F761B7"/>
    <w:rsid w:val="00F81BB7"/>
    <w:rsid w:val="00F90D50"/>
    <w:rsid w:val="00FB166B"/>
    <w:rsid w:val="00FB2683"/>
    <w:rsid w:val="00FB345E"/>
    <w:rsid w:val="00FC6CCA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CFC86E"/>
  <w15:docId w15:val="{C8D8E5D0-2598-4B61-8837-031D35F9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AB9"/>
    <w:pPr>
      <w:shd w:val="clear" w:color="auto" w:fill="D9D9D9" w:themeFill="background1" w:themeFillShade="D9"/>
      <w:spacing w:before="80" w:after="80" w:line="240" w:lineRule="auto"/>
      <w:jc w:val="both"/>
      <w:outlineLvl w:val="0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3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37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46EF8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D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3C"/>
  </w:style>
  <w:style w:type="paragraph" w:styleId="Footer">
    <w:name w:val="footer"/>
    <w:basedOn w:val="Normal"/>
    <w:link w:val="FooterChar"/>
    <w:uiPriority w:val="99"/>
    <w:unhideWhenUsed/>
    <w:rsid w:val="00ED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3C"/>
  </w:style>
  <w:style w:type="character" w:styleId="FollowedHyperlink">
    <w:name w:val="FollowedHyperlink"/>
    <w:basedOn w:val="DefaultParagraphFont"/>
    <w:uiPriority w:val="99"/>
    <w:semiHidden/>
    <w:unhideWhenUsed/>
    <w:rsid w:val="00BA165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63"/>
    <w:rPr>
      <w:rFonts w:ascii="Tahoma" w:hAnsi="Tahoma" w:cs="Tahoma"/>
      <w:sz w:val="16"/>
      <w:szCs w:val="16"/>
    </w:rPr>
  </w:style>
  <w:style w:type="character" w:customStyle="1" w:styleId="pshyperlink">
    <w:name w:val="pshyperlink"/>
    <w:basedOn w:val="DefaultParagraphFont"/>
    <w:rsid w:val="00160568"/>
  </w:style>
  <w:style w:type="paragraph" w:styleId="NoSpacing">
    <w:name w:val="No Spacing"/>
    <w:uiPriority w:val="1"/>
    <w:qFormat/>
    <w:rsid w:val="007950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45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F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F5A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FF35B5"/>
    <w:rPr>
      <w:b/>
      <w:bCs/>
      <w:smallCaps/>
      <w:color w:val="C0504D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5AB9"/>
    <w:rPr>
      <w:rFonts w:ascii="Arial" w:hAnsi="Arial" w:cs="Arial"/>
      <w:sz w:val="32"/>
      <w:szCs w:val="32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arch.wayne.edu/oehs/hazardous/chemical-wast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gmaaldrich.com/catalog/search?term=nucleic+acid+stains&amp;interface=All&amp;N=0&amp;mode=match%20partialmax&amp;lang=en&amp;region=US&amp;focus=produc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pubchem.ncbi.nlm.nih.gov/compound/56841760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.wayne.edu/oehs/hazardous/chemical-wast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s://mac.wayne.edu/images/wsu-primary-horz-color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B1E57B7E6914498A793F2F135B1F9" ma:contentTypeVersion="4" ma:contentTypeDescription="Create a new document." ma:contentTypeScope="" ma:versionID="3c3aa636e845f86c02105dcee435a74f">
  <xsd:schema xmlns:xsd="http://www.w3.org/2001/XMLSchema" xmlns:xs="http://www.w3.org/2001/XMLSchema" xmlns:p="http://schemas.microsoft.com/office/2006/metadata/properties" xmlns:ns2="652f2984-07a8-441e-8dbd-70b550b10d33" targetNamespace="http://schemas.microsoft.com/office/2006/metadata/properties" ma:root="true" ma:fieldsID="c7eaf9047b8b8f08cc2cffa473b49379" ns2:_="">
    <xsd:import namespace="652f2984-07a8-441e-8dbd-70b550b10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f2984-07a8-441e-8dbd-70b550b10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C02D-44AD-48C6-8C9C-DCDBC1B4000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52f2984-07a8-441e-8dbd-70b550b10d3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2B4166-7119-455A-AD83-45BC6DEC7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781A8-3559-4ACF-A3DB-0041DA0CA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f2984-07a8-441e-8dbd-70b550b10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E6DF92-B082-4AF1-8139-7CB3FEDE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Sheet- Ethidium Bromide</vt:lpstr>
    </vt:vector>
  </TitlesOfParts>
  <Company>WSU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Sheet- Ethidium Bromide</dc:title>
  <dc:subject>Hazards of ethidium bromide</dc:subject>
  <dc:creator>Pearson, Richard John</dc:creator>
  <cp:lastModifiedBy>Linda  marie ritter</cp:lastModifiedBy>
  <cp:revision>2</cp:revision>
  <cp:lastPrinted>2013-07-08T17:10:00Z</cp:lastPrinted>
  <dcterms:created xsi:type="dcterms:W3CDTF">2020-08-18T17:33:00Z</dcterms:created>
  <dcterms:modified xsi:type="dcterms:W3CDTF">2020-08-18T17:33:00Z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0x010100E6CB1E57B7E6914498A793F2F135B1F9</vt:lpwstr>
  </property>
</Properties>
</file>