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06" w:rsidRPr="00C455D2" w:rsidRDefault="00626E06" w:rsidP="00820E43">
      <w:pPr>
        <w:spacing w:after="120" w:line="240" w:lineRule="auto"/>
        <w:contextualSpacing/>
        <w:jc w:val="center"/>
        <w:rPr>
          <w:rStyle w:val="BookTitle"/>
          <w:rFonts w:ascii="Arial" w:hAnsi="Arial" w:cs="Arial"/>
          <w:sz w:val="48"/>
          <w:szCs w:val="48"/>
        </w:rPr>
      </w:pPr>
      <w:r w:rsidRPr="00C455D2">
        <w:rPr>
          <w:rStyle w:val="BookTitle"/>
          <w:rFonts w:ascii="Arial" w:hAnsi="Arial" w:cs="Arial"/>
          <w:sz w:val="44"/>
          <w:szCs w:val="44"/>
        </w:rPr>
        <w:t>Lentiviral Vector Exposure Treatment</w:t>
      </w:r>
    </w:p>
    <w:p w:rsidR="00626E06" w:rsidRPr="00C455D2" w:rsidRDefault="00626E06" w:rsidP="004C13EF">
      <w:pPr>
        <w:shd w:val="clear" w:color="auto" w:fill="D9D9D9"/>
        <w:spacing w:before="120" w:after="120" w:line="240" w:lineRule="auto"/>
        <w:jc w:val="both"/>
        <w:rPr>
          <w:rFonts w:ascii="Arial" w:hAnsi="Arial" w:cs="Arial"/>
          <w:b/>
          <w:bCs/>
          <w:sz w:val="20"/>
          <w:szCs w:val="20"/>
        </w:rPr>
      </w:pPr>
      <w:r w:rsidRPr="00C455D2">
        <w:rPr>
          <w:rStyle w:val="BookTitle"/>
          <w:rFonts w:ascii="Arial" w:hAnsi="Arial" w:cs="Arial"/>
          <w:sz w:val="20"/>
          <w:szCs w:val="20"/>
        </w:rPr>
        <w:t>Introduction</w:t>
      </w:r>
      <w:r w:rsidRPr="00C455D2">
        <w:rPr>
          <w:rFonts w:ascii="Arial" w:hAnsi="Arial" w:cs="Arial"/>
          <w:b/>
          <w:bCs/>
          <w:sz w:val="20"/>
          <w:szCs w:val="20"/>
        </w:rPr>
        <w:t xml:space="preserve">: </w:t>
      </w:r>
    </w:p>
    <w:p w:rsidR="00626E06" w:rsidRPr="00C455D2" w:rsidRDefault="00626E06" w:rsidP="00121EC0">
      <w:pPr>
        <w:spacing w:before="120" w:after="0" w:line="240" w:lineRule="auto"/>
        <w:rPr>
          <w:rFonts w:ascii="Arial" w:hAnsi="Arial" w:cs="Arial"/>
          <w:sz w:val="20"/>
          <w:szCs w:val="20"/>
        </w:rPr>
        <w:sectPr w:rsidR="00626E06" w:rsidRPr="00C455D2" w:rsidSect="00820E43">
          <w:headerReference w:type="default" r:id="rId8"/>
          <w:footerReference w:type="default" r:id="rId9"/>
          <w:pgSz w:w="12240" w:h="15840"/>
          <w:pgMar w:top="1872"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smartTag w:uri="urn:schemas-microsoft-com:office:smarttags" w:element="place">
        <w:smartTag w:uri="urn:schemas-microsoft-com:office:smarttags" w:element="PlaceName">
          <w:r w:rsidRPr="00C455D2">
            <w:rPr>
              <w:rFonts w:ascii="Arial" w:hAnsi="Arial" w:cs="Arial"/>
              <w:sz w:val="20"/>
              <w:szCs w:val="20"/>
            </w:rPr>
            <w:t>Detroit</w:t>
          </w:r>
        </w:smartTag>
        <w:r w:rsidRPr="00C455D2">
          <w:rPr>
            <w:rFonts w:ascii="Arial" w:hAnsi="Arial" w:cs="Arial"/>
            <w:sz w:val="20"/>
            <w:szCs w:val="20"/>
          </w:rPr>
          <w:t xml:space="preserve"> </w:t>
        </w:r>
        <w:smartTag w:uri="urn:schemas-microsoft-com:office:smarttags" w:element="PlaceName">
          <w:r w:rsidRPr="00C455D2">
            <w:rPr>
              <w:rFonts w:ascii="Arial" w:hAnsi="Arial" w:cs="Arial"/>
              <w:sz w:val="20"/>
              <w:szCs w:val="20"/>
            </w:rPr>
            <w:t>Medical</w:t>
          </w:r>
        </w:smartTag>
        <w:r w:rsidRPr="00C455D2">
          <w:rPr>
            <w:rFonts w:ascii="Arial" w:hAnsi="Arial" w:cs="Arial"/>
            <w:sz w:val="20"/>
            <w:szCs w:val="20"/>
          </w:rPr>
          <w:t xml:space="preserve"> </w:t>
        </w:r>
        <w:smartTag w:uri="urn:schemas-microsoft-com:office:smarttags" w:element="PlaceType">
          <w:r w:rsidRPr="00C455D2">
            <w:rPr>
              <w:rFonts w:ascii="Arial" w:hAnsi="Arial" w:cs="Arial"/>
              <w:sz w:val="20"/>
              <w:szCs w:val="20"/>
            </w:rPr>
            <w:t>Center</w:t>
          </w:r>
        </w:smartTag>
      </w:smartTag>
      <w:r w:rsidRPr="00C455D2">
        <w:rPr>
          <w:rFonts w:ascii="Arial" w:hAnsi="Arial" w:cs="Arial"/>
          <w:sz w:val="20"/>
          <w:szCs w:val="20"/>
        </w:rPr>
        <w:t>’s (DMC) Occupation</w:t>
      </w:r>
      <w:r>
        <w:rPr>
          <w:rFonts w:ascii="Arial" w:hAnsi="Arial" w:cs="Arial"/>
          <w:sz w:val="20"/>
          <w:szCs w:val="20"/>
        </w:rPr>
        <w:t>al</w:t>
      </w:r>
      <w:r w:rsidRPr="00C455D2">
        <w:rPr>
          <w:rFonts w:ascii="Arial" w:hAnsi="Arial" w:cs="Arial"/>
          <w:sz w:val="20"/>
          <w:szCs w:val="20"/>
        </w:rPr>
        <w:t xml:space="preserve"> Health Services </w:t>
      </w:r>
      <w:r>
        <w:rPr>
          <w:rFonts w:ascii="Arial" w:hAnsi="Arial" w:cs="Arial"/>
          <w:sz w:val="20"/>
          <w:szCs w:val="20"/>
        </w:rPr>
        <w:t>(OHS) has developed a</w:t>
      </w:r>
      <w:r w:rsidRPr="00C455D2">
        <w:rPr>
          <w:rFonts w:ascii="Arial" w:hAnsi="Arial" w:cs="Arial"/>
          <w:sz w:val="20"/>
          <w:szCs w:val="20"/>
        </w:rPr>
        <w:t xml:space="preserve"> Lentiviral Vector (LVV) post-exposure management plan that is applicable to Wayne State University (WSU) researchers.  </w:t>
      </w:r>
      <w:r>
        <w:rPr>
          <w:rFonts w:ascii="Arial" w:hAnsi="Arial" w:cs="Arial"/>
          <w:sz w:val="20"/>
          <w:szCs w:val="20"/>
        </w:rPr>
        <w:t>The</w:t>
      </w:r>
      <w:r w:rsidRPr="00C455D2">
        <w:rPr>
          <w:rFonts w:ascii="Arial" w:hAnsi="Arial" w:cs="Arial"/>
          <w:sz w:val="20"/>
          <w:szCs w:val="20"/>
        </w:rPr>
        <w:t xml:space="preserve"> treatment </w:t>
      </w:r>
      <w:r>
        <w:rPr>
          <w:rFonts w:ascii="Arial" w:hAnsi="Arial" w:cs="Arial"/>
          <w:sz w:val="20"/>
          <w:szCs w:val="20"/>
        </w:rPr>
        <w:t>plan</w:t>
      </w:r>
      <w:r w:rsidRPr="00C455D2">
        <w:rPr>
          <w:rFonts w:ascii="Arial" w:hAnsi="Arial" w:cs="Arial"/>
          <w:sz w:val="20"/>
          <w:szCs w:val="20"/>
        </w:rPr>
        <w:t xml:space="preserve"> includes the </w:t>
      </w:r>
      <w:r>
        <w:rPr>
          <w:rFonts w:ascii="Arial" w:hAnsi="Arial" w:cs="Arial"/>
          <w:sz w:val="20"/>
          <w:szCs w:val="20"/>
        </w:rPr>
        <w:t xml:space="preserve">option for research personnel to receive </w:t>
      </w:r>
      <w:r w:rsidRPr="00C455D2">
        <w:rPr>
          <w:rFonts w:ascii="Arial" w:hAnsi="Arial" w:cs="Arial"/>
          <w:sz w:val="20"/>
          <w:szCs w:val="20"/>
        </w:rPr>
        <w:t xml:space="preserve">anti-retroviral drugs </w:t>
      </w:r>
      <w:r>
        <w:rPr>
          <w:rFonts w:ascii="Arial" w:hAnsi="Arial" w:cs="Arial"/>
          <w:sz w:val="20"/>
          <w:szCs w:val="20"/>
        </w:rPr>
        <w:t xml:space="preserve">that are </w:t>
      </w:r>
      <w:r w:rsidRPr="00C455D2">
        <w:rPr>
          <w:rFonts w:ascii="Arial" w:hAnsi="Arial" w:cs="Arial"/>
          <w:sz w:val="20"/>
          <w:szCs w:val="20"/>
        </w:rPr>
        <w:t xml:space="preserve">commonly used as prophylaxis </w:t>
      </w:r>
      <w:r>
        <w:rPr>
          <w:rFonts w:ascii="Arial" w:hAnsi="Arial" w:cs="Arial"/>
          <w:sz w:val="20"/>
          <w:szCs w:val="20"/>
        </w:rPr>
        <w:t>following</w:t>
      </w:r>
      <w:r w:rsidRPr="00C455D2">
        <w:rPr>
          <w:rFonts w:ascii="Arial" w:hAnsi="Arial" w:cs="Arial"/>
          <w:sz w:val="20"/>
          <w:szCs w:val="20"/>
        </w:rPr>
        <w:t xml:space="preserve"> HIV exposure.  It is important to note that any researcher that is exposed to </w:t>
      </w:r>
      <w:r w:rsidR="00513F5F" w:rsidRPr="00C455D2">
        <w:rPr>
          <w:rFonts w:ascii="Arial" w:hAnsi="Arial" w:cs="Arial"/>
          <w:sz w:val="20"/>
          <w:szCs w:val="20"/>
        </w:rPr>
        <w:t>L</w:t>
      </w:r>
      <w:r w:rsidR="00513F5F">
        <w:rPr>
          <w:rFonts w:ascii="Arial" w:hAnsi="Arial" w:cs="Arial"/>
          <w:sz w:val="20"/>
          <w:szCs w:val="20"/>
        </w:rPr>
        <w:t>V</w:t>
      </w:r>
      <w:r w:rsidR="00513F5F" w:rsidRPr="00C455D2">
        <w:rPr>
          <w:rFonts w:ascii="Arial" w:hAnsi="Arial" w:cs="Arial"/>
          <w:sz w:val="20"/>
          <w:szCs w:val="20"/>
        </w:rPr>
        <w:t xml:space="preserve">V </w:t>
      </w:r>
      <w:r w:rsidRPr="00C455D2">
        <w:rPr>
          <w:rFonts w:ascii="Arial" w:hAnsi="Arial" w:cs="Arial"/>
          <w:sz w:val="20"/>
          <w:szCs w:val="20"/>
        </w:rPr>
        <w:t xml:space="preserve">should report to OHS </w:t>
      </w:r>
      <w:r>
        <w:rPr>
          <w:rFonts w:ascii="Arial" w:hAnsi="Arial" w:cs="Arial"/>
          <w:sz w:val="20"/>
          <w:szCs w:val="20"/>
        </w:rPr>
        <w:t xml:space="preserve">(or the Detroit Receiving Hospital Emergency Department (ED) after hours), </w:t>
      </w:r>
      <w:r w:rsidRPr="00C455D2">
        <w:rPr>
          <w:rFonts w:ascii="Arial" w:hAnsi="Arial" w:cs="Arial"/>
          <w:sz w:val="20"/>
          <w:szCs w:val="20"/>
        </w:rPr>
        <w:t>but it is up to the patient, in consultation with the medical professional, as to whether or not they receive treatment.  As a consequence, it is essential that WSU researchers are informed about the potential treatment strategies and knowledgeable about the risks associated with the specific lentiviral constructs being used within their laboratory.  The following information and form are designed to facilitate discussion and document the pertinent information for individual research groups at WSU.</w:t>
      </w:r>
    </w:p>
    <w:p w:rsidR="00626E06" w:rsidRPr="00C455D2" w:rsidRDefault="00626E06" w:rsidP="00121EC0">
      <w:pPr>
        <w:shd w:val="clear" w:color="auto" w:fill="D9D9D9"/>
        <w:spacing w:before="120" w:after="0" w:line="240" w:lineRule="auto"/>
        <w:jc w:val="both"/>
        <w:rPr>
          <w:rFonts w:ascii="Arial" w:hAnsi="Arial" w:cs="Arial"/>
          <w:b/>
          <w:bCs/>
          <w:sz w:val="20"/>
          <w:szCs w:val="20"/>
        </w:rPr>
      </w:pPr>
      <w:r w:rsidRPr="00C455D2">
        <w:rPr>
          <w:rStyle w:val="BookTitle"/>
          <w:rFonts w:ascii="Arial" w:hAnsi="Arial" w:cs="Arial"/>
          <w:sz w:val="20"/>
          <w:szCs w:val="20"/>
        </w:rPr>
        <w:lastRenderedPageBreak/>
        <w:t>Laboratory Acquired Infections</w:t>
      </w:r>
      <w:r w:rsidRPr="00C455D2">
        <w:rPr>
          <w:rFonts w:ascii="Arial" w:hAnsi="Arial" w:cs="Arial"/>
          <w:b/>
          <w:bCs/>
          <w:sz w:val="20"/>
          <w:szCs w:val="20"/>
        </w:rPr>
        <w:t>:</w:t>
      </w:r>
    </w:p>
    <w:p w:rsidR="00626E06" w:rsidRPr="00C455D2" w:rsidRDefault="00626E06" w:rsidP="00121EC0">
      <w:pPr>
        <w:spacing w:before="120" w:after="0" w:line="240" w:lineRule="auto"/>
        <w:jc w:val="both"/>
        <w:rPr>
          <w:rFonts w:ascii="Arial" w:hAnsi="Arial" w:cs="Arial"/>
          <w:sz w:val="20"/>
          <w:szCs w:val="20"/>
          <w:highlight w:val="yellow"/>
        </w:rPr>
      </w:pPr>
      <w:r w:rsidRPr="00C455D2">
        <w:rPr>
          <w:rFonts w:ascii="Arial" w:hAnsi="Arial" w:cs="Arial"/>
          <w:sz w:val="20"/>
          <w:szCs w:val="20"/>
        </w:rPr>
        <w:t xml:space="preserve">To date, there have been no documented cases of laboratory acquired infections/disease associated with </w:t>
      </w:r>
      <w:r w:rsidR="00975C37" w:rsidRPr="00C455D2">
        <w:rPr>
          <w:rFonts w:ascii="Arial" w:hAnsi="Arial" w:cs="Arial"/>
          <w:sz w:val="20"/>
          <w:szCs w:val="20"/>
        </w:rPr>
        <w:t>L</w:t>
      </w:r>
      <w:r w:rsidR="00975C37">
        <w:rPr>
          <w:rFonts w:ascii="Arial" w:hAnsi="Arial" w:cs="Arial"/>
          <w:sz w:val="20"/>
          <w:szCs w:val="20"/>
        </w:rPr>
        <w:t>V</w:t>
      </w:r>
      <w:r w:rsidR="00975C37" w:rsidRPr="00C455D2">
        <w:rPr>
          <w:rFonts w:ascii="Arial" w:hAnsi="Arial" w:cs="Arial"/>
          <w:sz w:val="20"/>
          <w:szCs w:val="20"/>
        </w:rPr>
        <w:t xml:space="preserve">V </w:t>
      </w:r>
      <w:r w:rsidRPr="00C455D2">
        <w:rPr>
          <w:rFonts w:ascii="Arial" w:hAnsi="Arial" w:cs="Arial"/>
          <w:sz w:val="20"/>
          <w:szCs w:val="20"/>
        </w:rPr>
        <w:t xml:space="preserve">exposures.  However, the consequence of exposure is difficult to measure </w:t>
      </w:r>
      <w:r>
        <w:rPr>
          <w:rFonts w:ascii="Arial" w:hAnsi="Arial" w:cs="Arial"/>
          <w:sz w:val="20"/>
          <w:szCs w:val="20"/>
        </w:rPr>
        <w:t>due to a paucity of</w:t>
      </w:r>
      <w:r w:rsidRPr="00C455D2">
        <w:rPr>
          <w:rFonts w:ascii="Arial" w:hAnsi="Arial" w:cs="Arial"/>
          <w:sz w:val="20"/>
          <w:szCs w:val="20"/>
        </w:rPr>
        <w:t xml:space="preserve"> </w:t>
      </w:r>
      <w:r>
        <w:rPr>
          <w:rFonts w:ascii="Arial" w:hAnsi="Arial" w:cs="Arial"/>
          <w:sz w:val="20"/>
          <w:szCs w:val="20"/>
        </w:rPr>
        <w:t xml:space="preserve">medical evidence relating to the specific </w:t>
      </w:r>
      <w:r w:rsidRPr="00C455D2">
        <w:rPr>
          <w:rFonts w:ascii="Arial" w:hAnsi="Arial" w:cs="Arial"/>
          <w:sz w:val="20"/>
          <w:szCs w:val="20"/>
        </w:rPr>
        <w:t>outcomes of infection.  In addition, adverse effects may occur years after the exposure incident.</w:t>
      </w:r>
      <w:r>
        <w:rPr>
          <w:rFonts w:ascii="Arial" w:hAnsi="Arial" w:cs="Arial"/>
          <w:sz w:val="20"/>
          <w:szCs w:val="20"/>
        </w:rPr>
        <w:t xml:space="preserve">  </w:t>
      </w:r>
    </w:p>
    <w:p w:rsidR="00626E06" w:rsidRPr="00C455D2" w:rsidRDefault="00626E06" w:rsidP="00121EC0">
      <w:pPr>
        <w:shd w:val="clear" w:color="auto" w:fill="D9D9D9"/>
        <w:spacing w:before="120" w:after="0" w:line="240" w:lineRule="auto"/>
        <w:outlineLvl w:val="1"/>
        <w:rPr>
          <w:rStyle w:val="BookTitle"/>
          <w:rFonts w:ascii="Arial" w:hAnsi="Arial" w:cs="Arial"/>
          <w:sz w:val="20"/>
          <w:szCs w:val="20"/>
        </w:rPr>
      </w:pPr>
      <w:r w:rsidRPr="00C455D2">
        <w:rPr>
          <w:rStyle w:val="BookTitle"/>
          <w:rFonts w:ascii="Arial" w:hAnsi="Arial" w:cs="Arial"/>
          <w:sz w:val="20"/>
          <w:szCs w:val="20"/>
        </w:rPr>
        <w:t>Education:</w:t>
      </w:r>
    </w:p>
    <w:p w:rsidR="00626E06" w:rsidRPr="00C455D2" w:rsidRDefault="00626E06" w:rsidP="00121EC0">
      <w:pPr>
        <w:spacing w:before="120" w:after="0" w:line="240" w:lineRule="auto"/>
        <w:outlineLvl w:val="1"/>
        <w:rPr>
          <w:rFonts w:ascii="Arial" w:hAnsi="Arial" w:cs="Arial"/>
          <w:sz w:val="20"/>
          <w:szCs w:val="20"/>
        </w:rPr>
      </w:pPr>
      <w:r w:rsidRPr="00C455D2">
        <w:rPr>
          <w:rFonts w:ascii="Arial" w:hAnsi="Arial" w:cs="Arial"/>
          <w:sz w:val="20"/>
          <w:szCs w:val="20"/>
        </w:rPr>
        <w:t xml:space="preserve">The physicians at both the </w:t>
      </w:r>
      <w:r w:rsidRPr="004A79BC">
        <w:rPr>
          <w:rFonts w:ascii="Arial" w:hAnsi="Arial" w:cs="Arial"/>
          <w:sz w:val="20"/>
          <w:szCs w:val="20"/>
        </w:rPr>
        <w:t>DMC Occupational Health</w:t>
      </w:r>
      <w:r w:rsidRPr="00C455D2">
        <w:rPr>
          <w:rFonts w:ascii="Arial" w:hAnsi="Arial" w:cs="Arial"/>
          <w:sz w:val="20"/>
          <w:szCs w:val="20"/>
        </w:rPr>
        <w:t xml:space="preserve"> Clinic and</w:t>
      </w:r>
      <w:r>
        <w:rPr>
          <w:rFonts w:ascii="Arial" w:hAnsi="Arial" w:cs="Arial"/>
          <w:sz w:val="20"/>
          <w:szCs w:val="20"/>
        </w:rPr>
        <w:t xml:space="preserve"> Detroit Receiving Hospital (DRH)</w:t>
      </w:r>
      <w:r w:rsidRPr="00C455D2">
        <w:rPr>
          <w:rFonts w:ascii="Arial" w:hAnsi="Arial" w:cs="Arial"/>
          <w:sz w:val="20"/>
          <w:szCs w:val="20"/>
        </w:rPr>
        <w:t xml:space="preserve"> Emergency Room will have access to the post-exposure management plan.  </w:t>
      </w:r>
    </w:p>
    <w:p w:rsidR="00626E06" w:rsidRPr="00C455D2" w:rsidRDefault="00626E06" w:rsidP="00121EC0">
      <w:pPr>
        <w:spacing w:before="120" w:after="0" w:line="240" w:lineRule="auto"/>
        <w:outlineLvl w:val="1"/>
        <w:rPr>
          <w:rFonts w:ascii="Arial" w:hAnsi="Arial" w:cs="Arial"/>
          <w:sz w:val="20"/>
          <w:szCs w:val="20"/>
        </w:rPr>
      </w:pPr>
      <w:r w:rsidRPr="00C455D2">
        <w:rPr>
          <w:rFonts w:ascii="Arial" w:hAnsi="Arial" w:cs="Arial"/>
          <w:sz w:val="20"/>
          <w:szCs w:val="20"/>
        </w:rPr>
        <w:t xml:space="preserve">It is not </w:t>
      </w:r>
      <w:r>
        <w:rPr>
          <w:rFonts w:ascii="Arial" w:hAnsi="Arial" w:cs="Arial"/>
          <w:sz w:val="20"/>
          <w:szCs w:val="20"/>
        </w:rPr>
        <w:t>practical</w:t>
      </w:r>
      <w:r w:rsidRPr="00C455D2">
        <w:rPr>
          <w:rFonts w:ascii="Arial" w:hAnsi="Arial" w:cs="Arial"/>
          <w:sz w:val="20"/>
          <w:szCs w:val="20"/>
        </w:rPr>
        <w:t xml:space="preserve"> for the Occupation</w:t>
      </w:r>
      <w:r>
        <w:rPr>
          <w:rFonts w:ascii="Arial" w:hAnsi="Arial" w:cs="Arial"/>
          <w:sz w:val="20"/>
          <w:szCs w:val="20"/>
        </w:rPr>
        <w:t>al</w:t>
      </w:r>
      <w:r w:rsidRPr="00C455D2">
        <w:rPr>
          <w:rFonts w:ascii="Arial" w:hAnsi="Arial" w:cs="Arial"/>
          <w:sz w:val="20"/>
          <w:szCs w:val="20"/>
        </w:rPr>
        <w:t xml:space="preserve"> Health Clinic to </w:t>
      </w:r>
      <w:r>
        <w:rPr>
          <w:rFonts w:ascii="Arial" w:hAnsi="Arial" w:cs="Arial"/>
          <w:sz w:val="20"/>
          <w:szCs w:val="20"/>
        </w:rPr>
        <w:t xml:space="preserve">ensure </w:t>
      </w:r>
      <w:r w:rsidRPr="00C455D2">
        <w:rPr>
          <w:rFonts w:ascii="Arial" w:hAnsi="Arial" w:cs="Arial"/>
          <w:sz w:val="20"/>
          <w:szCs w:val="20"/>
        </w:rPr>
        <w:t>physician</w:t>
      </w:r>
      <w:r>
        <w:rPr>
          <w:rFonts w:ascii="Arial" w:hAnsi="Arial" w:cs="Arial"/>
          <w:sz w:val="20"/>
          <w:szCs w:val="20"/>
        </w:rPr>
        <w:t xml:space="preserve"> knowledge about</w:t>
      </w:r>
      <w:r w:rsidRPr="00C455D2">
        <w:rPr>
          <w:rFonts w:ascii="Arial" w:hAnsi="Arial" w:cs="Arial"/>
          <w:sz w:val="20"/>
          <w:szCs w:val="20"/>
        </w:rPr>
        <w:t xml:space="preserve"> the specifics of lentivirus.  The DMC OHS post-exposure management plan is written with this in mind.</w:t>
      </w:r>
    </w:p>
    <w:p w:rsidR="00626E06" w:rsidRPr="00C455D2" w:rsidRDefault="00626E06" w:rsidP="00121EC0">
      <w:pPr>
        <w:spacing w:before="120" w:after="0" w:line="240" w:lineRule="auto"/>
        <w:outlineLvl w:val="1"/>
        <w:rPr>
          <w:rFonts w:ascii="Arial" w:hAnsi="Arial" w:cs="Arial"/>
          <w:sz w:val="20"/>
          <w:szCs w:val="20"/>
        </w:rPr>
      </w:pPr>
      <w:r w:rsidRPr="00C455D2">
        <w:rPr>
          <w:rFonts w:ascii="Arial" w:hAnsi="Arial" w:cs="Arial"/>
          <w:sz w:val="20"/>
          <w:szCs w:val="20"/>
        </w:rPr>
        <w:t>The researcher is the most informed individual with regard to the specific hazards associated with the virus they are using.  As such, prior education should be provided to research personnel by their Principal Investigator on:</w:t>
      </w:r>
    </w:p>
    <w:p w:rsidR="00626E06" w:rsidRPr="00C455D2" w:rsidRDefault="00626E06" w:rsidP="00121EC0">
      <w:pPr>
        <w:pStyle w:val="ListParagraph"/>
        <w:numPr>
          <w:ilvl w:val="0"/>
          <w:numId w:val="44"/>
        </w:numPr>
        <w:spacing w:before="120" w:after="0" w:line="240" w:lineRule="auto"/>
        <w:outlineLvl w:val="1"/>
        <w:rPr>
          <w:rFonts w:ascii="Arial" w:hAnsi="Arial" w:cs="Arial"/>
          <w:sz w:val="20"/>
          <w:szCs w:val="20"/>
        </w:rPr>
      </w:pPr>
      <w:r w:rsidRPr="00C455D2">
        <w:rPr>
          <w:rFonts w:ascii="Arial" w:hAnsi="Arial" w:cs="Arial"/>
          <w:sz w:val="20"/>
          <w:szCs w:val="20"/>
        </w:rPr>
        <w:t>Evaluating risk associated with the lentivirus being used</w:t>
      </w:r>
    </w:p>
    <w:p w:rsidR="00626E06" w:rsidRPr="00C455D2" w:rsidRDefault="00626E06" w:rsidP="00121EC0">
      <w:pPr>
        <w:pStyle w:val="ListParagraph"/>
        <w:numPr>
          <w:ilvl w:val="0"/>
          <w:numId w:val="44"/>
        </w:numPr>
        <w:spacing w:before="120" w:after="0" w:line="240" w:lineRule="auto"/>
        <w:outlineLvl w:val="1"/>
        <w:rPr>
          <w:rFonts w:ascii="Arial" w:hAnsi="Arial" w:cs="Arial"/>
          <w:sz w:val="20"/>
          <w:szCs w:val="20"/>
        </w:rPr>
      </w:pPr>
      <w:r w:rsidRPr="00C455D2">
        <w:rPr>
          <w:rFonts w:ascii="Arial" w:hAnsi="Arial" w:cs="Arial"/>
          <w:sz w:val="20"/>
          <w:szCs w:val="20"/>
        </w:rPr>
        <w:t>Routes of Transmission</w:t>
      </w:r>
    </w:p>
    <w:p w:rsidR="00626E06" w:rsidRPr="00C455D2" w:rsidRDefault="00626E06" w:rsidP="00121EC0">
      <w:pPr>
        <w:pStyle w:val="ListParagraph"/>
        <w:numPr>
          <w:ilvl w:val="0"/>
          <w:numId w:val="44"/>
        </w:numPr>
        <w:spacing w:before="120" w:after="0" w:line="240" w:lineRule="auto"/>
        <w:outlineLvl w:val="1"/>
        <w:rPr>
          <w:rFonts w:ascii="Arial" w:hAnsi="Arial" w:cs="Arial"/>
          <w:sz w:val="20"/>
          <w:szCs w:val="20"/>
        </w:rPr>
      </w:pPr>
      <w:r w:rsidRPr="00C455D2">
        <w:rPr>
          <w:rFonts w:ascii="Arial" w:hAnsi="Arial" w:cs="Arial"/>
          <w:sz w:val="20"/>
          <w:szCs w:val="20"/>
        </w:rPr>
        <w:t>What represents a significant</w:t>
      </w:r>
      <w:r w:rsidR="001B6DA3">
        <w:rPr>
          <w:rFonts w:ascii="Arial" w:hAnsi="Arial" w:cs="Arial"/>
          <w:sz w:val="20"/>
          <w:szCs w:val="20"/>
        </w:rPr>
        <w:t xml:space="preserve"> exposure</w:t>
      </w:r>
      <w:bookmarkStart w:id="0" w:name="_GoBack"/>
      <w:bookmarkEnd w:id="0"/>
    </w:p>
    <w:p w:rsidR="00626E06" w:rsidRPr="00C455D2" w:rsidRDefault="00626E06" w:rsidP="00121EC0">
      <w:pPr>
        <w:pStyle w:val="ListParagraph"/>
        <w:numPr>
          <w:ilvl w:val="0"/>
          <w:numId w:val="44"/>
        </w:numPr>
        <w:spacing w:before="120" w:after="0" w:line="240" w:lineRule="auto"/>
        <w:outlineLvl w:val="1"/>
        <w:rPr>
          <w:rFonts w:ascii="Arial" w:hAnsi="Arial" w:cs="Arial"/>
          <w:sz w:val="52"/>
          <w:szCs w:val="52"/>
        </w:rPr>
        <w:sectPr w:rsidR="00626E06" w:rsidRPr="00C455D2" w:rsidSect="006F6A18">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C455D2">
        <w:rPr>
          <w:rFonts w:ascii="Arial" w:hAnsi="Arial" w:cs="Arial"/>
          <w:sz w:val="20"/>
          <w:szCs w:val="20"/>
        </w:rPr>
        <w:t>Treatment options following exposure</w:t>
      </w:r>
    </w:p>
    <w:p w:rsidR="00626E06" w:rsidRPr="00C455D2" w:rsidRDefault="00626E06" w:rsidP="008C02DD">
      <w:pPr>
        <w:pStyle w:val="NormalWeb"/>
        <w:shd w:val="clear" w:color="auto" w:fill="D9D9D9"/>
        <w:spacing w:before="120" w:beforeAutospacing="0" w:after="0" w:afterAutospacing="0"/>
        <w:rPr>
          <w:rStyle w:val="BookTitle"/>
          <w:rFonts w:ascii="Arial" w:hAnsi="Arial" w:cs="Arial"/>
          <w:sz w:val="20"/>
          <w:szCs w:val="20"/>
        </w:rPr>
      </w:pPr>
      <w:r w:rsidRPr="00C455D2">
        <w:rPr>
          <w:rStyle w:val="BookTitle"/>
          <w:rFonts w:ascii="Arial" w:hAnsi="Arial" w:cs="Arial"/>
          <w:sz w:val="20"/>
          <w:szCs w:val="20"/>
        </w:rPr>
        <w:lastRenderedPageBreak/>
        <w:t xml:space="preserve">1.  Evaluating Risk: Lentivirus Vectors Information: </w:t>
      </w:r>
    </w:p>
    <w:p w:rsidR="00626E06" w:rsidRPr="00C455D2" w:rsidRDefault="00626E06" w:rsidP="00964B7E">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 xml:space="preserve">The risks from LVV exposure include; insertional mutagenesis, transgene expression, and generation of replication competent retrovirus.   It is important that each construct being used in the lab is assessed and the potential risk associated with the LVV be evaluated.  This will enable research personnel to make informed decisions when selecting medical treatment options in the event of an exposure incident.  </w:t>
      </w:r>
    </w:p>
    <w:p w:rsidR="00626E06" w:rsidRPr="00C455D2" w:rsidRDefault="00626E06" w:rsidP="00964B7E">
      <w:pPr>
        <w:pStyle w:val="NormalWeb"/>
        <w:spacing w:before="120" w:beforeAutospacing="0" w:after="0" w:afterAutospacing="0"/>
        <w:rPr>
          <w:rFonts w:ascii="Arial" w:hAnsi="Arial" w:cs="Arial"/>
          <w:color w:val="000000"/>
          <w:sz w:val="20"/>
          <w:szCs w:val="20"/>
          <w:vertAlign w:val="superscript"/>
        </w:rPr>
      </w:pPr>
      <w:r w:rsidRPr="00C455D2">
        <w:rPr>
          <w:rFonts w:ascii="Arial" w:hAnsi="Arial" w:cs="Arial"/>
          <w:color w:val="000000"/>
          <w:sz w:val="20"/>
          <w:szCs w:val="20"/>
        </w:rPr>
        <w:t>Table 1:  Information to help perform risk assessments of viral vectors</w:t>
      </w:r>
      <w:r w:rsidRPr="00B94BF0">
        <w:rPr>
          <w:rFonts w:ascii="Arial" w:hAnsi="Arial" w:cs="Arial"/>
          <w:color w:val="000000"/>
          <w:sz w:val="20"/>
          <w:szCs w:val="20"/>
          <w:vertAlign w:val="superscript"/>
        </w:rPr>
        <w:t>1</w:t>
      </w:r>
    </w:p>
    <w:tbl>
      <w:tblPr>
        <w:tblW w:w="0" w:type="auto"/>
        <w:tblBorders>
          <w:top w:val="single" w:sz="4" w:space="0" w:color="auto"/>
        </w:tblBorders>
        <w:tblLook w:val="00A0" w:firstRow="1" w:lastRow="0" w:firstColumn="1" w:lastColumn="0" w:noHBand="0" w:noVBand="0"/>
      </w:tblPr>
      <w:tblGrid>
        <w:gridCol w:w="3672"/>
        <w:gridCol w:w="3672"/>
        <w:gridCol w:w="3672"/>
      </w:tblGrid>
      <w:tr w:rsidR="00626E06" w:rsidRPr="009523BC">
        <w:tc>
          <w:tcPr>
            <w:tcW w:w="3672" w:type="dxa"/>
            <w:tcBorders>
              <w:top w:val="single" w:sz="4" w:space="0" w:color="auto"/>
              <w:bottom w:val="double" w:sz="4" w:space="0" w:color="auto"/>
            </w:tcBorders>
          </w:tcPr>
          <w:p w:rsidR="00626E06" w:rsidRPr="009523BC" w:rsidRDefault="00626E06" w:rsidP="009523BC">
            <w:pPr>
              <w:pStyle w:val="NormalWeb"/>
              <w:spacing w:before="120" w:beforeAutospacing="0" w:after="0" w:afterAutospacing="0"/>
              <w:rPr>
                <w:rFonts w:ascii="Arial" w:hAnsi="Arial" w:cs="Arial"/>
                <w:b/>
                <w:bCs/>
                <w:color w:val="000000"/>
                <w:sz w:val="18"/>
                <w:szCs w:val="18"/>
              </w:rPr>
            </w:pPr>
            <w:r w:rsidRPr="009523BC">
              <w:rPr>
                <w:rFonts w:ascii="Arial" w:hAnsi="Arial" w:cs="Arial"/>
                <w:b/>
                <w:bCs/>
                <w:color w:val="000000"/>
                <w:sz w:val="18"/>
                <w:szCs w:val="18"/>
              </w:rPr>
              <w:t>Vector variable</w:t>
            </w:r>
          </w:p>
        </w:tc>
        <w:tc>
          <w:tcPr>
            <w:tcW w:w="3672" w:type="dxa"/>
            <w:tcBorders>
              <w:top w:val="single" w:sz="4" w:space="0" w:color="auto"/>
              <w:bottom w:val="double" w:sz="4" w:space="0" w:color="auto"/>
            </w:tcBorders>
          </w:tcPr>
          <w:p w:rsidR="00626E06" w:rsidRPr="009523BC" w:rsidRDefault="00626E06" w:rsidP="009523BC">
            <w:pPr>
              <w:pStyle w:val="NormalWeb"/>
              <w:spacing w:before="120" w:beforeAutospacing="0" w:after="0" w:afterAutospacing="0"/>
              <w:rPr>
                <w:rFonts w:ascii="Arial" w:hAnsi="Arial" w:cs="Arial"/>
                <w:b/>
                <w:bCs/>
                <w:color w:val="000000"/>
                <w:sz w:val="18"/>
                <w:szCs w:val="18"/>
              </w:rPr>
            </w:pPr>
            <w:r w:rsidRPr="009523BC">
              <w:rPr>
                <w:rFonts w:ascii="Arial" w:hAnsi="Arial" w:cs="Arial"/>
                <w:b/>
                <w:bCs/>
                <w:color w:val="000000"/>
                <w:sz w:val="18"/>
                <w:szCs w:val="18"/>
              </w:rPr>
              <w:t>Low-risk Examples</w:t>
            </w:r>
          </w:p>
        </w:tc>
        <w:tc>
          <w:tcPr>
            <w:tcW w:w="3672" w:type="dxa"/>
            <w:tcBorders>
              <w:top w:val="single" w:sz="4" w:space="0" w:color="auto"/>
              <w:bottom w:val="double" w:sz="4" w:space="0" w:color="auto"/>
            </w:tcBorders>
          </w:tcPr>
          <w:p w:rsidR="00626E06" w:rsidRPr="009523BC" w:rsidRDefault="00626E06" w:rsidP="009523BC">
            <w:pPr>
              <w:pStyle w:val="NormalWeb"/>
              <w:spacing w:before="120" w:beforeAutospacing="0" w:after="0" w:afterAutospacing="0"/>
              <w:rPr>
                <w:rFonts w:ascii="Arial" w:hAnsi="Arial" w:cs="Arial"/>
                <w:b/>
                <w:bCs/>
                <w:color w:val="000000"/>
                <w:sz w:val="18"/>
                <w:szCs w:val="18"/>
              </w:rPr>
            </w:pPr>
            <w:r w:rsidRPr="009523BC">
              <w:rPr>
                <w:rFonts w:ascii="Arial" w:hAnsi="Arial" w:cs="Arial"/>
                <w:b/>
                <w:bCs/>
                <w:color w:val="000000"/>
                <w:sz w:val="18"/>
                <w:szCs w:val="18"/>
              </w:rPr>
              <w:t>Clinically Relevant Examples</w:t>
            </w:r>
          </w:p>
        </w:tc>
      </w:tr>
      <w:tr w:rsidR="00626E06" w:rsidRPr="009523BC">
        <w:tc>
          <w:tcPr>
            <w:tcW w:w="3672" w:type="dxa"/>
            <w:tcBorders>
              <w:top w:val="doub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Transgene Function</w:t>
            </w:r>
          </w:p>
        </w:tc>
        <w:tc>
          <w:tcPr>
            <w:tcW w:w="3672" w:type="dxa"/>
            <w:tcBorders>
              <w:top w:val="doub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Protein based fluorescence (e.g. GFP)</w:t>
            </w:r>
          </w:p>
        </w:tc>
        <w:tc>
          <w:tcPr>
            <w:tcW w:w="3672" w:type="dxa"/>
            <w:tcBorders>
              <w:top w:val="doub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Silence a tumor-suppressor or Oncogene expression</w:t>
            </w:r>
          </w:p>
        </w:tc>
      </w:tr>
      <w:tr w:rsidR="00626E06" w:rsidRPr="009523B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Number of plasmids used to generate virions</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3-4 plasmids</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2 or less plasmids</w:t>
            </w:r>
          </w:p>
        </w:tc>
      </w:tr>
      <w:tr w:rsidR="00626E06" w:rsidRPr="009523BC">
        <w:tc>
          <w:tcPr>
            <w:tcW w:w="3672" w:type="dxa"/>
            <w:tcBorders>
              <w:top w:val="single" w:sz="4" w:space="0" w:color="auto"/>
              <w:bottom w:val="single" w:sz="4" w:space="0" w:color="auto"/>
            </w:tcBorders>
          </w:tcPr>
          <w:p w:rsidR="00626E06" w:rsidRPr="009523BC" w:rsidRDefault="00626E06" w:rsidP="00975C37">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Mutations within L</w:t>
            </w:r>
            <w:r w:rsidR="00975C37">
              <w:rPr>
                <w:rFonts w:ascii="Arial" w:hAnsi="Arial" w:cs="Arial"/>
                <w:color w:val="000000"/>
                <w:sz w:val="18"/>
                <w:szCs w:val="18"/>
              </w:rPr>
              <w:t>V</w:t>
            </w:r>
            <w:r w:rsidRPr="009523BC">
              <w:rPr>
                <w:rFonts w:ascii="Arial" w:hAnsi="Arial" w:cs="Arial"/>
                <w:color w:val="000000"/>
                <w:sz w:val="18"/>
                <w:szCs w:val="18"/>
              </w:rPr>
              <w:t>V</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Self-inactivating LTRs</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 xml:space="preserve">WT LTRs, Drug resistance </w:t>
            </w:r>
          </w:p>
        </w:tc>
      </w:tr>
      <w:tr w:rsidR="00626E06" w:rsidRPr="009523B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Expression Control Elements</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Weak promoters</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Strong promoters (e.g. CMV, SV40)</w:t>
            </w:r>
          </w:p>
        </w:tc>
      </w:tr>
      <w:tr w:rsidR="00626E06" w:rsidRPr="009523B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Production volume</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&lt;100mL</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&gt;100mL</w:t>
            </w:r>
          </w:p>
        </w:tc>
      </w:tr>
      <w:tr w:rsidR="00626E06" w:rsidRPr="009523B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Concentrations</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&lt;1 x 10</w:t>
            </w:r>
            <w:r w:rsidRPr="009523BC">
              <w:rPr>
                <w:rFonts w:ascii="Arial" w:hAnsi="Arial" w:cs="Arial"/>
                <w:color w:val="000000"/>
                <w:sz w:val="18"/>
                <w:szCs w:val="18"/>
                <w:vertAlign w:val="superscript"/>
              </w:rPr>
              <w:t>9</w:t>
            </w:r>
            <w:r w:rsidRPr="009523BC">
              <w:rPr>
                <w:rFonts w:ascii="Arial" w:hAnsi="Arial" w:cs="Arial"/>
                <w:color w:val="000000"/>
                <w:sz w:val="18"/>
                <w:szCs w:val="18"/>
              </w:rPr>
              <w:t xml:space="preserve"> IU/mL</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&gt;1 x 10</w:t>
            </w:r>
            <w:r w:rsidRPr="009523BC">
              <w:rPr>
                <w:rFonts w:ascii="Arial" w:hAnsi="Arial" w:cs="Arial"/>
                <w:color w:val="000000"/>
                <w:sz w:val="18"/>
                <w:szCs w:val="18"/>
                <w:vertAlign w:val="superscript"/>
              </w:rPr>
              <w:t>9</w:t>
            </w:r>
            <w:r w:rsidRPr="009523BC">
              <w:rPr>
                <w:rFonts w:ascii="Arial" w:hAnsi="Arial" w:cs="Arial"/>
                <w:color w:val="000000"/>
                <w:sz w:val="18"/>
                <w:szCs w:val="18"/>
              </w:rPr>
              <w:t xml:space="preserve"> IU/mL</w:t>
            </w:r>
          </w:p>
        </w:tc>
      </w:tr>
      <w:tr w:rsidR="00626E06" w:rsidRPr="009523B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Percentage of genome deleted or substituted</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&gt;2/3</w:t>
            </w:r>
          </w:p>
        </w:tc>
        <w:tc>
          <w:tcPr>
            <w:tcW w:w="3672" w:type="dxa"/>
            <w:tcBorders>
              <w:top w:val="single" w:sz="4" w:space="0" w:color="auto"/>
              <w:bottom w:val="single" w:sz="4" w:space="0" w:color="auto"/>
            </w:tcBorders>
          </w:tcPr>
          <w:p w:rsidR="00626E06" w:rsidRPr="009523BC" w:rsidRDefault="00626E06" w:rsidP="009523BC">
            <w:pPr>
              <w:pStyle w:val="NormalWeb"/>
              <w:spacing w:before="120" w:beforeAutospacing="0" w:after="0" w:afterAutospacing="0"/>
              <w:rPr>
                <w:rFonts w:ascii="Arial" w:hAnsi="Arial" w:cs="Arial"/>
                <w:color w:val="000000"/>
                <w:sz w:val="18"/>
                <w:szCs w:val="18"/>
              </w:rPr>
            </w:pPr>
            <w:r w:rsidRPr="009523BC">
              <w:rPr>
                <w:rFonts w:ascii="Arial" w:hAnsi="Arial" w:cs="Arial"/>
                <w:color w:val="000000"/>
                <w:sz w:val="18"/>
                <w:szCs w:val="18"/>
              </w:rPr>
              <w:t>&lt;2/3</w:t>
            </w:r>
          </w:p>
        </w:tc>
      </w:tr>
    </w:tbl>
    <w:p w:rsidR="00626E06" w:rsidRPr="00C455D2" w:rsidRDefault="00626E06" w:rsidP="00964B7E">
      <w:pPr>
        <w:pStyle w:val="NormalWeb"/>
        <w:spacing w:before="120" w:beforeAutospacing="0" w:after="0" w:afterAutospacing="0"/>
        <w:rPr>
          <w:rFonts w:ascii="Arial" w:hAnsi="Arial" w:cs="Arial"/>
          <w:color w:val="000000"/>
          <w:sz w:val="16"/>
          <w:szCs w:val="16"/>
        </w:rPr>
      </w:pPr>
      <w:r w:rsidRPr="00C455D2">
        <w:rPr>
          <w:rFonts w:ascii="Arial" w:hAnsi="Arial" w:cs="Arial"/>
          <w:color w:val="000000"/>
          <w:sz w:val="16"/>
          <w:szCs w:val="16"/>
        </w:rPr>
        <w:t xml:space="preserve">Modified from </w:t>
      </w:r>
      <w:proofErr w:type="spellStart"/>
      <w:r w:rsidRPr="00C455D2">
        <w:rPr>
          <w:rFonts w:ascii="Arial" w:hAnsi="Arial" w:cs="Arial"/>
          <w:color w:val="000000"/>
          <w:sz w:val="16"/>
          <w:szCs w:val="16"/>
        </w:rPr>
        <w:t>Schlimgen</w:t>
      </w:r>
      <w:proofErr w:type="spellEnd"/>
      <w:r w:rsidRPr="00C455D2">
        <w:rPr>
          <w:rFonts w:ascii="Arial" w:hAnsi="Arial" w:cs="Arial"/>
          <w:color w:val="000000"/>
          <w:sz w:val="16"/>
          <w:szCs w:val="16"/>
        </w:rPr>
        <w:t xml:space="preserve"> et al, 2016</w:t>
      </w:r>
    </w:p>
    <w:p w:rsidR="00626E06" w:rsidRDefault="00626E06" w:rsidP="004A79BC">
      <w:pPr>
        <w:pStyle w:val="NormalWeb"/>
        <w:spacing w:before="120" w:beforeAutospacing="0" w:after="0" w:afterAutospacing="0"/>
        <w:rPr>
          <w:rFonts w:ascii="Arial" w:hAnsi="Arial" w:cs="Arial"/>
          <w:color w:val="000000"/>
          <w:sz w:val="20"/>
          <w:szCs w:val="20"/>
        </w:rPr>
      </w:pPr>
    </w:p>
    <w:p w:rsidR="00626E06" w:rsidRPr="00C455D2" w:rsidRDefault="00626E06" w:rsidP="004A79BC">
      <w:pPr>
        <w:pStyle w:val="NormalWeb"/>
        <w:spacing w:before="120" w:beforeAutospacing="0" w:after="0" w:afterAutospacing="0"/>
        <w:rPr>
          <w:rFonts w:ascii="Arial" w:hAnsi="Arial" w:cs="Arial"/>
          <w:color w:val="000000"/>
          <w:sz w:val="20"/>
          <w:szCs w:val="20"/>
        </w:rPr>
        <w:sectPr w:rsidR="00626E06" w:rsidRPr="00C455D2" w:rsidSect="00626D6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626E06" w:rsidRPr="00C455D2" w:rsidRDefault="00626E06" w:rsidP="006F6A18">
      <w:pPr>
        <w:pStyle w:val="NormalWeb"/>
        <w:shd w:val="clear" w:color="auto" w:fill="D9D9D9"/>
        <w:spacing w:before="120" w:beforeAutospacing="0" w:after="0" w:afterAutospacing="0"/>
        <w:rPr>
          <w:rStyle w:val="BookTitle"/>
          <w:rFonts w:ascii="Arial" w:hAnsi="Arial" w:cs="Arial"/>
          <w:sz w:val="20"/>
          <w:szCs w:val="20"/>
        </w:rPr>
      </w:pPr>
      <w:r w:rsidRPr="00C455D2">
        <w:rPr>
          <w:rStyle w:val="BookTitle"/>
          <w:rFonts w:ascii="Arial" w:hAnsi="Arial" w:cs="Arial"/>
          <w:sz w:val="20"/>
          <w:szCs w:val="20"/>
        </w:rPr>
        <w:lastRenderedPageBreak/>
        <w:t>2.  Routes of Transmission:</w:t>
      </w:r>
    </w:p>
    <w:p w:rsidR="00626E06" w:rsidRDefault="00626E06" w:rsidP="004F7133">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Within the laboratory, the following represent the potential routes of transmission:</w:t>
      </w:r>
    </w:p>
    <w:p w:rsidR="00626E06" w:rsidRPr="00C455D2" w:rsidRDefault="00626E06" w:rsidP="006F6A18">
      <w:pPr>
        <w:pStyle w:val="NormalWeb"/>
        <w:numPr>
          <w:ilvl w:val="0"/>
          <w:numId w:val="37"/>
        </w:numPr>
        <w:spacing w:before="120" w:beforeAutospacing="0" w:after="0" w:afterAutospacing="0"/>
        <w:rPr>
          <w:rFonts w:ascii="Arial" w:hAnsi="Arial" w:cs="Arial"/>
          <w:color w:val="000000"/>
          <w:sz w:val="20"/>
          <w:szCs w:val="20"/>
        </w:rPr>
      </w:pPr>
      <w:r w:rsidRPr="00C455D2">
        <w:rPr>
          <w:rFonts w:ascii="Arial" w:hAnsi="Arial" w:cs="Arial"/>
          <w:color w:val="000000"/>
          <w:sz w:val="20"/>
          <w:szCs w:val="20"/>
        </w:rPr>
        <w:t>Direct parenteral inoculation</w:t>
      </w:r>
    </w:p>
    <w:p w:rsidR="00626E06" w:rsidRPr="00C455D2" w:rsidRDefault="00626E06" w:rsidP="006F6A18">
      <w:pPr>
        <w:pStyle w:val="NormalWeb"/>
        <w:numPr>
          <w:ilvl w:val="0"/>
          <w:numId w:val="37"/>
        </w:numPr>
        <w:spacing w:before="0" w:beforeAutospacing="0" w:after="0" w:afterAutospacing="0"/>
        <w:rPr>
          <w:rFonts w:ascii="Arial" w:hAnsi="Arial" w:cs="Arial"/>
          <w:color w:val="000000"/>
          <w:sz w:val="20"/>
          <w:szCs w:val="20"/>
        </w:rPr>
      </w:pPr>
      <w:r w:rsidRPr="00C455D2">
        <w:rPr>
          <w:rFonts w:ascii="Arial" w:hAnsi="Arial" w:cs="Arial"/>
          <w:color w:val="000000"/>
          <w:sz w:val="20"/>
          <w:szCs w:val="20"/>
        </w:rPr>
        <w:t>Contact with mucous membranes or non-intact skin</w:t>
      </w:r>
    </w:p>
    <w:p w:rsidR="00626E06" w:rsidRPr="00C455D2" w:rsidRDefault="00626E06" w:rsidP="006F6A18">
      <w:pPr>
        <w:pStyle w:val="NormalWeb"/>
        <w:numPr>
          <w:ilvl w:val="0"/>
          <w:numId w:val="37"/>
        </w:numPr>
        <w:spacing w:before="0" w:beforeAutospacing="0" w:after="0" w:afterAutospacing="0"/>
        <w:rPr>
          <w:rFonts w:ascii="Arial" w:hAnsi="Arial" w:cs="Arial"/>
          <w:color w:val="000000"/>
          <w:sz w:val="20"/>
          <w:szCs w:val="20"/>
        </w:rPr>
      </w:pPr>
      <w:r w:rsidRPr="00C455D2">
        <w:rPr>
          <w:rFonts w:ascii="Arial" w:hAnsi="Arial" w:cs="Arial"/>
          <w:color w:val="000000"/>
          <w:sz w:val="20"/>
          <w:szCs w:val="20"/>
        </w:rPr>
        <w:t>Direct contact at a close range to droplets from an aerosol generating procedure outside of primary containment</w:t>
      </w:r>
    </w:p>
    <w:p w:rsidR="00626E06" w:rsidRPr="00C455D2" w:rsidRDefault="00626E06" w:rsidP="00D4451F">
      <w:pPr>
        <w:pStyle w:val="NormalWeb"/>
        <w:shd w:val="clear" w:color="auto" w:fill="D9D9D9"/>
        <w:spacing w:before="120" w:beforeAutospacing="0" w:after="0" w:afterAutospacing="0"/>
        <w:rPr>
          <w:rStyle w:val="BookTitle"/>
          <w:rFonts w:ascii="Arial" w:hAnsi="Arial" w:cs="Arial"/>
        </w:rPr>
      </w:pPr>
      <w:r w:rsidRPr="00C455D2">
        <w:rPr>
          <w:rStyle w:val="BookTitle"/>
          <w:rFonts w:ascii="Arial" w:hAnsi="Arial" w:cs="Arial"/>
          <w:sz w:val="20"/>
          <w:szCs w:val="20"/>
        </w:rPr>
        <w:t>3.  What Represents a Significant Exposure?</w:t>
      </w:r>
    </w:p>
    <w:p w:rsidR="00626E06" w:rsidRPr="00C455D2" w:rsidRDefault="00626E06" w:rsidP="00D4451F">
      <w:pPr>
        <w:pStyle w:val="NormalWeb"/>
        <w:spacing w:before="120" w:beforeAutospacing="0" w:after="0" w:afterAutospacing="0"/>
        <w:rPr>
          <w:rFonts w:ascii="Arial" w:hAnsi="Arial" w:cs="Arial"/>
          <w:color w:val="000000"/>
          <w:sz w:val="20"/>
          <w:szCs w:val="20"/>
          <w:u w:val="single"/>
        </w:rPr>
        <w:sectPr w:rsidR="00626E06" w:rsidRPr="00C455D2" w:rsidSect="00820E43">
          <w:type w:val="continuous"/>
          <w:pgSz w:w="12240" w:h="15840"/>
          <w:pgMar w:top="1872"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626E06" w:rsidRPr="00D4451F" w:rsidRDefault="00626E06" w:rsidP="00D4451F">
      <w:pPr>
        <w:pStyle w:val="NormalWeb"/>
        <w:spacing w:before="120" w:beforeAutospacing="0" w:after="0" w:afterAutospacing="0"/>
        <w:ind w:left="720"/>
        <w:rPr>
          <w:rFonts w:ascii="Arial" w:hAnsi="Arial" w:cs="Arial"/>
          <w:color w:val="000000"/>
          <w:sz w:val="20"/>
          <w:szCs w:val="20"/>
          <w:u w:val="single"/>
        </w:rPr>
      </w:pPr>
      <w:r w:rsidRPr="00D4451F">
        <w:rPr>
          <w:rFonts w:ascii="Arial" w:hAnsi="Arial" w:cs="Arial"/>
          <w:color w:val="000000"/>
          <w:sz w:val="20"/>
          <w:szCs w:val="20"/>
          <w:u w:val="single"/>
        </w:rPr>
        <w:lastRenderedPageBreak/>
        <w:t>Significant Exposures</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Contact with mucous membranes: eyes, nose, or mouth</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Contact with non-intact skin</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Skin puncture or injection</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D4451F">
        <w:rPr>
          <w:rFonts w:ascii="Arial" w:hAnsi="Arial" w:cs="Arial"/>
          <w:color w:val="000000"/>
          <w:sz w:val="20"/>
          <w:szCs w:val="20"/>
        </w:rPr>
        <w:t>Ingestion</w:t>
      </w:r>
    </w:p>
    <w:p w:rsidR="00626E06" w:rsidRPr="00D4451F"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D4451F">
        <w:rPr>
          <w:rFonts w:ascii="Arial" w:hAnsi="Arial" w:cs="Arial"/>
          <w:color w:val="000000"/>
          <w:sz w:val="20"/>
          <w:szCs w:val="20"/>
        </w:rPr>
        <w:t>roplets from an aerosol generating procedure</w:t>
      </w:r>
    </w:p>
    <w:p w:rsidR="00626E06" w:rsidRDefault="00626E06" w:rsidP="00D4451F">
      <w:pPr>
        <w:pStyle w:val="NormalWeb"/>
        <w:spacing w:before="120" w:beforeAutospacing="0" w:after="0" w:afterAutospacing="0"/>
        <w:ind w:left="720"/>
        <w:contextualSpacing/>
        <w:rPr>
          <w:rFonts w:ascii="Arial" w:hAnsi="Arial" w:cs="Arial"/>
          <w:color w:val="000000"/>
          <w:sz w:val="20"/>
          <w:szCs w:val="20"/>
          <w:u w:val="single"/>
        </w:rPr>
      </w:pPr>
    </w:p>
    <w:p w:rsidR="00626E06" w:rsidRPr="00D4451F" w:rsidRDefault="00626E06" w:rsidP="00D4451F">
      <w:pPr>
        <w:pStyle w:val="NormalWeb"/>
        <w:spacing w:before="120" w:beforeAutospacing="0" w:after="0" w:afterAutospacing="0"/>
        <w:ind w:left="720"/>
        <w:rPr>
          <w:rFonts w:ascii="Arial" w:hAnsi="Arial" w:cs="Arial"/>
          <w:color w:val="000000"/>
          <w:sz w:val="20"/>
          <w:szCs w:val="20"/>
          <w:u w:val="single"/>
        </w:rPr>
      </w:pPr>
      <w:r w:rsidRPr="00D4451F">
        <w:rPr>
          <w:rFonts w:ascii="Arial" w:hAnsi="Arial" w:cs="Arial"/>
          <w:color w:val="000000"/>
          <w:sz w:val="20"/>
          <w:szCs w:val="20"/>
          <w:u w:val="single"/>
        </w:rPr>
        <w:lastRenderedPageBreak/>
        <w:t>Low Risk Exposures</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Bite from recently infected animal</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C</w:t>
      </w:r>
      <w:r w:rsidRPr="00C455D2">
        <w:rPr>
          <w:rFonts w:ascii="Arial" w:hAnsi="Arial" w:cs="Arial"/>
          <w:color w:val="000000"/>
          <w:sz w:val="20"/>
          <w:szCs w:val="20"/>
        </w:rPr>
        <w:t>ontact with body fluids from recently infected animal</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Intact skin contact with liquid solution or droplets</w:t>
      </w:r>
    </w:p>
    <w:p w:rsidR="00626E06" w:rsidRDefault="00626E06" w:rsidP="00D4451F">
      <w:pPr>
        <w:pStyle w:val="NormalWeb"/>
        <w:spacing w:before="120" w:beforeAutospacing="0" w:after="0" w:afterAutospacing="0"/>
        <w:contextualSpacing/>
        <w:rPr>
          <w:rFonts w:ascii="Arial" w:hAnsi="Arial" w:cs="Arial"/>
          <w:color w:val="000000"/>
          <w:sz w:val="20"/>
          <w:szCs w:val="20"/>
        </w:rPr>
      </w:pPr>
    </w:p>
    <w:p w:rsidR="00626E06" w:rsidRDefault="00626E06" w:rsidP="00D4451F">
      <w:pPr>
        <w:pStyle w:val="NormalWeb"/>
        <w:spacing w:before="120" w:beforeAutospacing="0" w:after="0" w:afterAutospacing="0"/>
        <w:contextualSpacing/>
        <w:rPr>
          <w:rFonts w:ascii="Arial" w:hAnsi="Arial" w:cs="Arial"/>
          <w:color w:val="000000"/>
          <w:sz w:val="20"/>
          <w:szCs w:val="20"/>
        </w:rPr>
      </w:pPr>
    </w:p>
    <w:p w:rsidR="00626E06" w:rsidRDefault="00626E06" w:rsidP="008846A4">
      <w:pPr>
        <w:pStyle w:val="NormalWeb"/>
        <w:shd w:val="clear" w:color="auto" w:fill="D9D9D9"/>
        <w:spacing w:before="120" w:beforeAutospacing="0" w:after="0" w:afterAutospacing="0"/>
        <w:rPr>
          <w:rStyle w:val="BookTitle"/>
          <w:rFonts w:ascii="Arial" w:hAnsi="Arial" w:cs="Arial"/>
          <w:sz w:val="20"/>
          <w:szCs w:val="20"/>
        </w:rPr>
        <w:sectPr w:rsidR="00626E06" w:rsidSect="00D4451F">
          <w:type w:val="continuous"/>
          <w:pgSz w:w="12240" w:h="15840"/>
          <w:pgMar w:top="1872"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626E06" w:rsidRPr="00C455D2" w:rsidRDefault="00626E06" w:rsidP="008846A4">
      <w:pPr>
        <w:pStyle w:val="NormalWeb"/>
        <w:shd w:val="clear" w:color="auto" w:fill="D9D9D9"/>
        <w:spacing w:before="120" w:beforeAutospacing="0" w:after="0" w:afterAutospacing="0"/>
        <w:rPr>
          <w:rStyle w:val="BookTitle"/>
          <w:rFonts w:ascii="Arial" w:hAnsi="Arial" w:cs="Arial"/>
          <w:sz w:val="20"/>
          <w:szCs w:val="20"/>
        </w:rPr>
      </w:pPr>
      <w:r w:rsidRPr="00C455D2">
        <w:rPr>
          <w:rStyle w:val="BookTitle"/>
          <w:rFonts w:ascii="Arial" w:hAnsi="Arial" w:cs="Arial"/>
          <w:sz w:val="20"/>
          <w:szCs w:val="20"/>
        </w:rPr>
        <w:lastRenderedPageBreak/>
        <w:t>4.  Treatment Options Following Exposure:</w:t>
      </w:r>
    </w:p>
    <w:p w:rsidR="00626E06" w:rsidRPr="00C455D2" w:rsidRDefault="00626E06" w:rsidP="006F6A18">
      <w:pPr>
        <w:pStyle w:val="ListParagraph"/>
        <w:numPr>
          <w:ilvl w:val="0"/>
          <w:numId w:val="29"/>
        </w:numPr>
        <w:spacing w:before="120"/>
        <w:rPr>
          <w:rFonts w:ascii="Arial" w:hAnsi="Arial" w:cs="Arial"/>
          <w:sz w:val="20"/>
          <w:szCs w:val="20"/>
        </w:rPr>
      </w:pPr>
      <w:r w:rsidRPr="00C455D2">
        <w:rPr>
          <w:rFonts w:ascii="Arial" w:hAnsi="Arial" w:cs="Arial"/>
          <w:sz w:val="20"/>
          <w:szCs w:val="20"/>
        </w:rPr>
        <w:t>The new treatment regimen is modeled on current HIV prophylaxis.</w:t>
      </w:r>
    </w:p>
    <w:p w:rsidR="00626E06" w:rsidRPr="00C455D2" w:rsidRDefault="00626E06" w:rsidP="006F6A18">
      <w:pPr>
        <w:pStyle w:val="ListParagraph"/>
        <w:numPr>
          <w:ilvl w:val="0"/>
          <w:numId w:val="29"/>
        </w:numPr>
        <w:spacing w:before="120"/>
        <w:rPr>
          <w:rFonts w:ascii="Arial" w:hAnsi="Arial" w:cs="Arial"/>
          <w:sz w:val="20"/>
          <w:szCs w:val="20"/>
        </w:rPr>
      </w:pPr>
      <w:r w:rsidRPr="00C455D2">
        <w:rPr>
          <w:rFonts w:ascii="Arial" w:hAnsi="Arial" w:cs="Arial"/>
          <w:sz w:val="20"/>
          <w:szCs w:val="20"/>
        </w:rPr>
        <w:t>The efficacy of the drugs being used is unknown with regard to lentivirus exposure</w:t>
      </w:r>
      <w:r>
        <w:rPr>
          <w:rFonts w:ascii="Arial" w:hAnsi="Arial" w:cs="Arial"/>
          <w:sz w:val="20"/>
          <w:szCs w:val="20"/>
        </w:rPr>
        <w:t>, but believed to help to reduce risk based upon analogy to HIV treatment</w:t>
      </w:r>
      <w:r w:rsidRPr="00C455D2">
        <w:rPr>
          <w:rFonts w:ascii="Arial" w:hAnsi="Arial" w:cs="Arial"/>
          <w:sz w:val="20"/>
          <w:szCs w:val="20"/>
        </w:rPr>
        <w:t xml:space="preserve">. </w:t>
      </w:r>
    </w:p>
    <w:p w:rsidR="00626E06" w:rsidRPr="00C455D2" w:rsidRDefault="00626E06" w:rsidP="006F6A18">
      <w:pPr>
        <w:pStyle w:val="ListParagraph"/>
        <w:numPr>
          <w:ilvl w:val="0"/>
          <w:numId w:val="29"/>
        </w:numPr>
        <w:spacing w:before="120"/>
        <w:rPr>
          <w:rFonts w:ascii="Arial" w:hAnsi="Arial" w:cs="Arial"/>
          <w:sz w:val="20"/>
          <w:szCs w:val="20"/>
        </w:rPr>
      </w:pPr>
      <w:r w:rsidRPr="00C455D2">
        <w:rPr>
          <w:rFonts w:ascii="Arial" w:hAnsi="Arial" w:cs="Arial"/>
          <w:sz w:val="20"/>
          <w:szCs w:val="20"/>
        </w:rPr>
        <w:t>Due to the viral vectors inability to replicate, the duration of the course of treatment is shortened in comparison to the standard treatment for HIV exposure.</w:t>
      </w:r>
    </w:p>
    <w:p w:rsidR="00626E06" w:rsidRPr="00C455D2" w:rsidRDefault="00626E06" w:rsidP="006F6A18">
      <w:pPr>
        <w:pStyle w:val="ListParagraph"/>
        <w:numPr>
          <w:ilvl w:val="0"/>
          <w:numId w:val="29"/>
        </w:numPr>
        <w:spacing w:before="120"/>
        <w:rPr>
          <w:rFonts w:ascii="Arial" w:hAnsi="Arial" w:cs="Arial"/>
          <w:sz w:val="20"/>
          <w:szCs w:val="20"/>
        </w:rPr>
      </w:pPr>
      <w:r w:rsidRPr="00C455D2">
        <w:rPr>
          <w:rFonts w:ascii="Arial" w:hAnsi="Arial" w:cs="Arial"/>
          <w:sz w:val="20"/>
          <w:szCs w:val="20"/>
        </w:rPr>
        <w:t xml:space="preserve">Prophylaxis </w:t>
      </w:r>
      <w:r>
        <w:rPr>
          <w:rFonts w:ascii="Arial" w:hAnsi="Arial" w:cs="Arial"/>
          <w:sz w:val="20"/>
          <w:szCs w:val="20"/>
        </w:rPr>
        <w:t xml:space="preserve">is not usually indicated </w:t>
      </w:r>
      <w:r w:rsidRPr="00C455D2">
        <w:rPr>
          <w:rFonts w:ascii="Arial" w:hAnsi="Arial" w:cs="Arial"/>
          <w:sz w:val="20"/>
          <w:szCs w:val="20"/>
        </w:rPr>
        <w:t>72 hours post-exposure</w:t>
      </w:r>
    </w:p>
    <w:p w:rsidR="00626E06" w:rsidRPr="00C455D2" w:rsidRDefault="00626E06" w:rsidP="006F6A18">
      <w:pPr>
        <w:pStyle w:val="ListParagraph"/>
        <w:numPr>
          <w:ilvl w:val="0"/>
          <w:numId w:val="29"/>
        </w:numPr>
        <w:spacing w:before="120"/>
        <w:rPr>
          <w:rFonts w:ascii="Arial" w:hAnsi="Arial" w:cs="Arial"/>
          <w:sz w:val="20"/>
          <w:szCs w:val="20"/>
        </w:rPr>
      </w:pPr>
      <w:r w:rsidRPr="00C455D2">
        <w:rPr>
          <w:rFonts w:ascii="Arial" w:hAnsi="Arial" w:cs="Arial"/>
          <w:sz w:val="20"/>
          <w:szCs w:val="20"/>
        </w:rPr>
        <w:t xml:space="preserve">Drugs </w:t>
      </w:r>
      <w:r>
        <w:rPr>
          <w:rFonts w:ascii="Arial" w:hAnsi="Arial" w:cs="Arial"/>
          <w:sz w:val="20"/>
          <w:szCs w:val="20"/>
        </w:rPr>
        <w:t>offered are an integrase inhibitor (Raltegravir</w:t>
      </w:r>
      <w:r>
        <w:rPr>
          <w:rFonts w:ascii="Arial" w:hAnsi="Arial" w:cs="Arial"/>
          <w:sz w:val="20"/>
          <w:szCs w:val="20"/>
          <w:vertAlign w:val="superscript"/>
        </w:rPr>
        <w:t>2</w:t>
      </w:r>
      <w:r>
        <w:rPr>
          <w:rFonts w:ascii="Arial" w:hAnsi="Arial" w:cs="Arial"/>
          <w:sz w:val="20"/>
          <w:szCs w:val="20"/>
        </w:rPr>
        <w:t>)  with or without a NRTI (Truvada</w:t>
      </w:r>
      <w:r>
        <w:rPr>
          <w:rFonts w:ascii="Arial" w:hAnsi="Arial" w:cs="Arial"/>
          <w:sz w:val="20"/>
          <w:szCs w:val="20"/>
          <w:vertAlign w:val="superscript"/>
        </w:rPr>
        <w:t>3</w:t>
      </w:r>
      <w:r>
        <w:rPr>
          <w:rFonts w:ascii="Arial" w:hAnsi="Arial" w:cs="Arial"/>
          <w:sz w:val="20"/>
          <w:szCs w:val="20"/>
        </w:rPr>
        <w:t>) daily for 7 days</w:t>
      </w:r>
    </w:p>
    <w:p w:rsidR="00626E06" w:rsidRDefault="00626E06" w:rsidP="00B94BF0">
      <w:pPr>
        <w:pStyle w:val="ListParagraph"/>
        <w:numPr>
          <w:ilvl w:val="0"/>
          <w:numId w:val="29"/>
        </w:numPr>
        <w:spacing w:after="0" w:line="240" w:lineRule="auto"/>
        <w:contextualSpacing w:val="0"/>
        <w:rPr>
          <w:rFonts w:ascii="Arial" w:hAnsi="Arial" w:cs="Arial"/>
          <w:sz w:val="20"/>
          <w:szCs w:val="20"/>
        </w:rPr>
      </w:pPr>
      <w:r w:rsidRPr="00C455D2">
        <w:rPr>
          <w:rFonts w:ascii="Arial" w:hAnsi="Arial" w:cs="Arial"/>
          <w:sz w:val="20"/>
          <w:szCs w:val="20"/>
        </w:rPr>
        <w:t xml:space="preserve">The side effect profiles of the drugs are described as “tolerable” for </w:t>
      </w:r>
      <w:r>
        <w:rPr>
          <w:rFonts w:ascii="Arial" w:hAnsi="Arial" w:cs="Arial"/>
          <w:sz w:val="20"/>
          <w:szCs w:val="20"/>
        </w:rPr>
        <w:t xml:space="preserve">most </w:t>
      </w:r>
      <w:r w:rsidRPr="00C455D2">
        <w:rPr>
          <w:rFonts w:ascii="Arial" w:hAnsi="Arial" w:cs="Arial"/>
          <w:sz w:val="20"/>
          <w:szCs w:val="20"/>
        </w:rPr>
        <w:t>healthy individuals.</w:t>
      </w:r>
    </w:p>
    <w:p w:rsidR="00626E06" w:rsidRPr="00C455D2" w:rsidRDefault="00626E06" w:rsidP="00B94BF0">
      <w:pPr>
        <w:pStyle w:val="ListParagraph"/>
        <w:numPr>
          <w:ilvl w:val="0"/>
          <w:numId w:val="29"/>
        </w:numPr>
        <w:spacing w:after="0" w:line="240" w:lineRule="auto"/>
        <w:contextualSpacing w:val="0"/>
        <w:rPr>
          <w:rFonts w:ascii="Arial" w:hAnsi="Arial" w:cs="Arial"/>
          <w:sz w:val="20"/>
          <w:szCs w:val="20"/>
        </w:rPr>
      </w:pPr>
      <w:r>
        <w:rPr>
          <w:rFonts w:ascii="Arial" w:hAnsi="Arial" w:cs="Arial"/>
          <w:sz w:val="20"/>
          <w:szCs w:val="20"/>
        </w:rPr>
        <w:t>OHS defined drug regimen is subject to change.  The OEHS will endeavor to keep this document current but all treatment options should be discussed with the physician at the time of treatment.</w:t>
      </w:r>
    </w:p>
    <w:p w:rsidR="00626E06" w:rsidRPr="00C455D2" w:rsidRDefault="00626E06" w:rsidP="00B95813">
      <w:pPr>
        <w:pStyle w:val="NoSpacing"/>
        <w:spacing w:before="120"/>
        <w:rPr>
          <w:rStyle w:val="BookTitle"/>
          <w:rFonts w:ascii="Arial" w:hAnsi="Arial" w:cs="Arial"/>
          <w:b w:val="0"/>
          <w:bCs w:val="0"/>
          <w:smallCaps w:val="0"/>
          <w:spacing w:val="0"/>
          <w:sz w:val="20"/>
          <w:szCs w:val="20"/>
        </w:rPr>
      </w:pPr>
      <w:r w:rsidRPr="00C455D2">
        <w:rPr>
          <w:rStyle w:val="BookTitle"/>
          <w:rFonts w:ascii="Arial" w:hAnsi="Arial" w:cs="Arial"/>
          <w:b w:val="0"/>
          <w:bCs w:val="0"/>
          <w:smallCaps w:val="0"/>
          <w:spacing w:val="0"/>
          <w:sz w:val="20"/>
          <w:szCs w:val="20"/>
        </w:rPr>
        <w:t>Treatment options:</w:t>
      </w:r>
      <w:r w:rsidRPr="00C455D2">
        <w:rPr>
          <w:rStyle w:val="BookTitle"/>
          <w:rFonts w:ascii="Arial" w:hAnsi="Arial" w:cs="Arial"/>
          <w:b w:val="0"/>
          <w:bCs w:val="0"/>
          <w:smallCaps w:val="0"/>
          <w:spacing w:val="0"/>
          <w:sz w:val="20"/>
          <w:szCs w:val="20"/>
        </w:rPr>
        <w:tab/>
      </w:r>
    </w:p>
    <w:p w:rsidR="00626E06" w:rsidRPr="00C455D2" w:rsidRDefault="00626E06" w:rsidP="006F6A18">
      <w:pPr>
        <w:pStyle w:val="NoSpacing"/>
        <w:numPr>
          <w:ilvl w:val="0"/>
          <w:numId w:val="30"/>
        </w:numPr>
        <w:spacing w:before="120"/>
        <w:rPr>
          <w:rStyle w:val="BookTitle"/>
          <w:rFonts w:ascii="Arial" w:hAnsi="Arial" w:cs="Arial"/>
          <w:b w:val="0"/>
          <w:bCs w:val="0"/>
          <w:smallCaps w:val="0"/>
          <w:spacing w:val="0"/>
          <w:sz w:val="20"/>
          <w:szCs w:val="20"/>
        </w:rPr>
      </w:pPr>
      <w:r w:rsidRPr="00092833">
        <w:rPr>
          <w:rStyle w:val="BookTitle"/>
          <w:rFonts w:ascii="Arial" w:hAnsi="Arial" w:cs="Arial"/>
          <w:b w:val="0"/>
          <w:bCs w:val="0"/>
          <w:smallCaps w:val="0"/>
          <w:spacing w:val="0"/>
          <w:sz w:val="20"/>
          <w:szCs w:val="20"/>
        </w:rPr>
        <w:t>Decline intervention</w:t>
      </w:r>
      <w:r w:rsidRPr="00C455D2">
        <w:rPr>
          <w:rStyle w:val="BookTitle"/>
          <w:rFonts w:ascii="Arial" w:hAnsi="Arial" w:cs="Arial"/>
          <w:b w:val="0"/>
          <w:bCs w:val="0"/>
          <w:smallCaps w:val="0"/>
          <w:spacing w:val="0"/>
          <w:sz w:val="20"/>
          <w:szCs w:val="20"/>
        </w:rPr>
        <w:t xml:space="preserve"> with anti-viral drugs</w:t>
      </w:r>
    </w:p>
    <w:p w:rsidR="00626E06" w:rsidRPr="00C455D2" w:rsidRDefault="00626E06" w:rsidP="006F6A18">
      <w:pPr>
        <w:pStyle w:val="NoSpacing"/>
        <w:numPr>
          <w:ilvl w:val="0"/>
          <w:numId w:val="30"/>
        </w:numPr>
        <w:spacing w:before="120"/>
        <w:rPr>
          <w:rStyle w:val="BookTitle"/>
          <w:rFonts w:ascii="Arial" w:hAnsi="Arial" w:cs="Arial"/>
          <w:b w:val="0"/>
          <w:bCs w:val="0"/>
          <w:smallCaps w:val="0"/>
          <w:spacing w:val="0"/>
          <w:sz w:val="20"/>
          <w:szCs w:val="20"/>
        </w:rPr>
      </w:pPr>
      <w:r w:rsidRPr="00C455D2">
        <w:rPr>
          <w:rStyle w:val="BookTitle"/>
          <w:rFonts w:ascii="Arial" w:hAnsi="Arial" w:cs="Arial"/>
          <w:b w:val="0"/>
          <w:bCs w:val="0"/>
          <w:smallCaps w:val="0"/>
          <w:spacing w:val="0"/>
          <w:sz w:val="20"/>
          <w:szCs w:val="20"/>
        </w:rPr>
        <w:t>Accept treatment with Integrase inhibitor alone</w:t>
      </w:r>
    </w:p>
    <w:p w:rsidR="00626E06" w:rsidRPr="00C455D2" w:rsidRDefault="00626E06" w:rsidP="006F6A18">
      <w:pPr>
        <w:pStyle w:val="NoSpacing"/>
        <w:numPr>
          <w:ilvl w:val="0"/>
          <w:numId w:val="30"/>
        </w:numPr>
        <w:spacing w:before="120"/>
        <w:rPr>
          <w:rStyle w:val="BookTitle"/>
          <w:rFonts w:ascii="Arial" w:hAnsi="Arial" w:cs="Arial"/>
          <w:b w:val="0"/>
          <w:bCs w:val="0"/>
          <w:smallCaps w:val="0"/>
          <w:spacing w:val="0"/>
          <w:sz w:val="20"/>
          <w:szCs w:val="20"/>
        </w:rPr>
      </w:pPr>
      <w:r w:rsidRPr="00C455D2">
        <w:rPr>
          <w:rStyle w:val="BookTitle"/>
          <w:rFonts w:ascii="Arial" w:hAnsi="Arial" w:cs="Arial"/>
          <w:b w:val="0"/>
          <w:bCs w:val="0"/>
          <w:smallCaps w:val="0"/>
          <w:spacing w:val="0"/>
          <w:sz w:val="20"/>
          <w:szCs w:val="20"/>
        </w:rPr>
        <w:t>Accept treatment with integrase inhibitor in combination with NRTI</w:t>
      </w:r>
    </w:p>
    <w:p w:rsidR="00626E06" w:rsidRPr="00C455D2" w:rsidRDefault="00626E06" w:rsidP="008846A4">
      <w:pPr>
        <w:spacing w:before="120" w:after="0" w:line="240" w:lineRule="auto"/>
        <w:outlineLvl w:val="1"/>
        <w:rPr>
          <w:rFonts w:ascii="Arial" w:hAnsi="Arial" w:cs="Arial"/>
          <w:sz w:val="20"/>
          <w:szCs w:val="20"/>
        </w:rPr>
      </w:pPr>
      <w:r w:rsidRPr="00C455D2">
        <w:rPr>
          <w:rFonts w:ascii="Arial" w:hAnsi="Arial" w:cs="Arial"/>
          <w:sz w:val="20"/>
          <w:szCs w:val="20"/>
        </w:rPr>
        <w:t>Decision to treat:</w:t>
      </w:r>
    </w:p>
    <w:p w:rsidR="00626E06" w:rsidRPr="00C455D2" w:rsidRDefault="00626E06" w:rsidP="008846A4">
      <w:pPr>
        <w:pStyle w:val="ListParagraph"/>
        <w:numPr>
          <w:ilvl w:val="0"/>
          <w:numId w:val="32"/>
        </w:numPr>
        <w:spacing w:before="120" w:after="0" w:line="240" w:lineRule="auto"/>
        <w:outlineLvl w:val="1"/>
        <w:rPr>
          <w:rFonts w:ascii="Arial" w:hAnsi="Arial" w:cs="Arial"/>
          <w:sz w:val="20"/>
          <w:szCs w:val="20"/>
        </w:rPr>
      </w:pPr>
      <w:r w:rsidRPr="00C455D2">
        <w:rPr>
          <w:rFonts w:ascii="Arial" w:hAnsi="Arial" w:cs="Arial"/>
          <w:sz w:val="20"/>
          <w:szCs w:val="20"/>
        </w:rPr>
        <w:t>The decision to treat is based on an individual’s personal decision following consultation with the attending physician</w:t>
      </w:r>
    </w:p>
    <w:p w:rsidR="00626E06" w:rsidRPr="00C455D2" w:rsidRDefault="00626E06" w:rsidP="008846A4">
      <w:pPr>
        <w:pStyle w:val="ListParagraph"/>
        <w:numPr>
          <w:ilvl w:val="0"/>
          <w:numId w:val="32"/>
        </w:numPr>
        <w:spacing w:before="120" w:after="0" w:line="240" w:lineRule="auto"/>
        <w:outlineLvl w:val="1"/>
        <w:rPr>
          <w:rFonts w:ascii="Arial" w:hAnsi="Arial" w:cs="Arial"/>
          <w:sz w:val="20"/>
          <w:szCs w:val="20"/>
        </w:rPr>
      </w:pPr>
      <w:r w:rsidRPr="00C455D2">
        <w:rPr>
          <w:rFonts w:ascii="Arial" w:hAnsi="Arial" w:cs="Arial"/>
          <w:sz w:val="20"/>
          <w:szCs w:val="20"/>
        </w:rPr>
        <w:t>With regard to the decision to treat, primary consideration is given to the patient’s risk tolerance level</w:t>
      </w:r>
    </w:p>
    <w:p w:rsidR="00626E06" w:rsidRPr="00C455D2" w:rsidRDefault="00626E06" w:rsidP="008846A4">
      <w:pPr>
        <w:pStyle w:val="ListParagraph"/>
        <w:numPr>
          <w:ilvl w:val="0"/>
          <w:numId w:val="32"/>
        </w:numPr>
        <w:spacing w:before="120" w:after="0" w:line="240" w:lineRule="auto"/>
        <w:outlineLvl w:val="1"/>
        <w:rPr>
          <w:rFonts w:ascii="Arial" w:hAnsi="Arial" w:cs="Arial"/>
          <w:sz w:val="20"/>
          <w:szCs w:val="20"/>
        </w:rPr>
      </w:pPr>
      <w:r w:rsidRPr="00C455D2">
        <w:rPr>
          <w:rFonts w:ascii="Arial" w:hAnsi="Arial" w:cs="Arial"/>
          <w:sz w:val="20"/>
          <w:szCs w:val="20"/>
        </w:rPr>
        <w:t>Consultation with an infectious disease specialist and the patients primary care physician w</w:t>
      </w:r>
      <w:r>
        <w:rPr>
          <w:rFonts w:ascii="Arial" w:hAnsi="Arial" w:cs="Arial"/>
          <w:sz w:val="20"/>
          <w:szCs w:val="20"/>
        </w:rPr>
        <w:t>ill occur if the patient has</w:t>
      </w:r>
      <w:r w:rsidRPr="00C455D2">
        <w:rPr>
          <w:rFonts w:ascii="Arial" w:hAnsi="Arial" w:cs="Arial"/>
          <w:sz w:val="20"/>
          <w:szCs w:val="20"/>
        </w:rPr>
        <w:t xml:space="preserve"> pre-existing</w:t>
      </w:r>
      <w:r>
        <w:rPr>
          <w:rFonts w:ascii="Arial" w:hAnsi="Arial" w:cs="Arial"/>
          <w:sz w:val="20"/>
          <w:szCs w:val="20"/>
        </w:rPr>
        <w:t xml:space="preserve"> illness or</w:t>
      </w:r>
      <w:r w:rsidRPr="00C455D2">
        <w:rPr>
          <w:rFonts w:ascii="Arial" w:hAnsi="Arial" w:cs="Arial"/>
          <w:sz w:val="20"/>
          <w:szCs w:val="20"/>
        </w:rPr>
        <w:t xml:space="preserve"> health c</w:t>
      </w:r>
      <w:r>
        <w:rPr>
          <w:rFonts w:ascii="Arial" w:hAnsi="Arial" w:cs="Arial"/>
          <w:sz w:val="20"/>
          <w:szCs w:val="20"/>
        </w:rPr>
        <w:t>oncern</w:t>
      </w:r>
      <w:r w:rsidRPr="00C455D2">
        <w:rPr>
          <w:rFonts w:ascii="Arial" w:hAnsi="Arial" w:cs="Arial"/>
          <w:sz w:val="20"/>
          <w:szCs w:val="20"/>
        </w:rPr>
        <w:t xml:space="preserve">s that </w:t>
      </w:r>
      <w:r>
        <w:rPr>
          <w:rFonts w:ascii="Arial" w:hAnsi="Arial" w:cs="Arial"/>
          <w:sz w:val="20"/>
          <w:szCs w:val="20"/>
        </w:rPr>
        <w:t>may</w:t>
      </w:r>
      <w:r w:rsidRPr="00C455D2">
        <w:rPr>
          <w:rFonts w:ascii="Arial" w:hAnsi="Arial" w:cs="Arial"/>
          <w:sz w:val="20"/>
          <w:szCs w:val="20"/>
        </w:rPr>
        <w:t xml:space="preserve"> complicate</w:t>
      </w:r>
      <w:r>
        <w:rPr>
          <w:rFonts w:ascii="Arial" w:hAnsi="Arial" w:cs="Arial"/>
          <w:sz w:val="20"/>
          <w:szCs w:val="20"/>
        </w:rPr>
        <w:t xml:space="preserve"> treatment, including pregnancy, breastfeeding, and family planning.</w:t>
      </w:r>
    </w:p>
    <w:p w:rsidR="00626E06" w:rsidRPr="00C455D2" w:rsidRDefault="00626E06" w:rsidP="008846A4">
      <w:pPr>
        <w:pStyle w:val="ListParagraph"/>
        <w:numPr>
          <w:ilvl w:val="0"/>
          <w:numId w:val="32"/>
        </w:numPr>
        <w:spacing w:before="120" w:after="0" w:line="240" w:lineRule="auto"/>
        <w:outlineLvl w:val="1"/>
        <w:rPr>
          <w:rFonts w:ascii="Arial" w:hAnsi="Arial" w:cs="Arial"/>
          <w:sz w:val="20"/>
          <w:szCs w:val="20"/>
        </w:rPr>
      </w:pPr>
      <w:r w:rsidRPr="00C455D2">
        <w:rPr>
          <w:rFonts w:ascii="Arial" w:hAnsi="Arial" w:cs="Arial"/>
          <w:sz w:val="20"/>
          <w:szCs w:val="20"/>
        </w:rPr>
        <w:t>The patient is to be counseled and supported in whatever decision he or she makes</w:t>
      </w:r>
    </w:p>
    <w:p w:rsidR="00626E06" w:rsidRDefault="00626E06" w:rsidP="00A571C7">
      <w:pPr>
        <w:pStyle w:val="NormalWeb"/>
        <w:spacing w:before="120" w:beforeAutospacing="0" w:after="0" w:afterAutospacing="0"/>
        <w:contextualSpacing/>
        <w:rPr>
          <w:rFonts w:ascii="Arial" w:hAnsi="Arial" w:cs="Arial"/>
          <w:b/>
          <w:bCs/>
          <w:color w:val="000000"/>
          <w:sz w:val="20"/>
          <w:szCs w:val="20"/>
        </w:rPr>
      </w:pPr>
    </w:p>
    <w:p w:rsidR="00626E06" w:rsidRPr="00C455D2" w:rsidRDefault="00626E06" w:rsidP="00941C9E">
      <w:pPr>
        <w:pStyle w:val="NormalWeb"/>
        <w:spacing w:before="0" w:beforeAutospacing="0" w:after="0" w:afterAutospacing="0"/>
        <w:rPr>
          <w:rFonts w:ascii="Arial" w:hAnsi="Arial" w:cs="Arial"/>
          <w:b/>
          <w:bCs/>
          <w:color w:val="000000"/>
          <w:sz w:val="20"/>
          <w:szCs w:val="20"/>
        </w:rPr>
      </w:pPr>
    </w:p>
    <w:p w:rsidR="00626E06" w:rsidRPr="00B94BF0" w:rsidRDefault="00626E06" w:rsidP="00A571C7">
      <w:pPr>
        <w:pStyle w:val="NormalWeb"/>
        <w:spacing w:before="120" w:beforeAutospacing="0" w:after="0" w:afterAutospacing="0"/>
        <w:contextualSpacing/>
        <w:rPr>
          <w:rFonts w:ascii="Arial" w:hAnsi="Arial" w:cs="Arial"/>
          <w:color w:val="000000"/>
          <w:sz w:val="20"/>
          <w:szCs w:val="20"/>
        </w:rPr>
      </w:pPr>
      <w:r w:rsidRPr="00B94BF0">
        <w:rPr>
          <w:rFonts w:ascii="Arial" w:hAnsi="Arial" w:cs="Arial"/>
          <w:color w:val="000000"/>
          <w:sz w:val="20"/>
          <w:szCs w:val="20"/>
        </w:rPr>
        <w:t>References:</w:t>
      </w:r>
    </w:p>
    <w:p w:rsidR="00626E06" w:rsidRPr="00B94BF0" w:rsidRDefault="00626E06" w:rsidP="00A571C7">
      <w:pPr>
        <w:pStyle w:val="NormalWeb"/>
        <w:spacing w:before="120" w:beforeAutospacing="0" w:after="0" w:afterAutospacing="0"/>
        <w:contextualSpacing/>
        <w:rPr>
          <w:rStyle w:val="Hyperlink"/>
          <w:rFonts w:ascii="Arial" w:hAnsi="Arial" w:cs="Arial"/>
          <w:sz w:val="20"/>
          <w:szCs w:val="20"/>
        </w:rPr>
      </w:pPr>
      <w:r w:rsidRPr="00B94BF0">
        <w:rPr>
          <w:rFonts w:ascii="Arial" w:hAnsi="Arial" w:cs="Arial"/>
          <w:color w:val="000000"/>
          <w:sz w:val="20"/>
          <w:szCs w:val="20"/>
        </w:rPr>
        <w:t xml:space="preserve">1. </w:t>
      </w:r>
      <w:hyperlink r:id="rId10" w:history="1">
        <w:r w:rsidRPr="00B94BF0">
          <w:rPr>
            <w:rStyle w:val="Hyperlink"/>
            <w:rFonts w:ascii="Arial" w:hAnsi="Arial" w:cs="Arial"/>
            <w:sz w:val="20"/>
            <w:szCs w:val="20"/>
          </w:rPr>
          <w:t>http://journals.lww.com/joem/Fulltext/2016/12000/Risks_Associated_With_Lentiviral_Vector_Exposures.1.aspx</w:t>
        </w:r>
      </w:hyperlink>
    </w:p>
    <w:p w:rsidR="00626E06" w:rsidRPr="00716E80" w:rsidRDefault="00626E06" w:rsidP="00B94BF0">
      <w:pPr>
        <w:pStyle w:val="NormalWeb"/>
        <w:spacing w:before="120" w:beforeAutospacing="0" w:after="0" w:afterAutospacing="0"/>
        <w:ind w:left="180" w:hanging="180"/>
        <w:contextualSpacing/>
        <w:rPr>
          <w:rStyle w:val="Hyperlink"/>
          <w:rFonts w:ascii="Arial" w:hAnsi="Arial" w:cs="Arial"/>
          <w:sz w:val="20"/>
          <w:szCs w:val="20"/>
          <w:lang w:val="it-IT"/>
        </w:rPr>
      </w:pPr>
      <w:r w:rsidRPr="00716E80">
        <w:rPr>
          <w:rFonts w:ascii="Arial" w:hAnsi="Arial" w:cs="Arial"/>
          <w:color w:val="000000"/>
          <w:sz w:val="20"/>
          <w:szCs w:val="20"/>
          <w:lang w:val="it-IT"/>
        </w:rPr>
        <w:t xml:space="preserve">2. Raltegravir; </w:t>
      </w:r>
      <w:r w:rsidRPr="00716E80">
        <w:rPr>
          <w:rFonts w:ascii="Arial" w:hAnsi="Arial" w:cs="Arial"/>
          <w:color w:val="212121"/>
          <w:sz w:val="20"/>
          <w:szCs w:val="20"/>
          <w:shd w:val="clear" w:color="auto" w:fill="FFFFFF"/>
          <w:lang w:val="it-IT"/>
        </w:rPr>
        <w:t xml:space="preserve">Integrase Inhibitor:   </w:t>
      </w:r>
      <w:hyperlink r:id="rId11" w:tgtFrame="_blank" w:history="1">
        <w:r w:rsidRPr="00716E80">
          <w:rPr>
            <w:rStyle w:val="Hyperlink"/>
            <w:rFonts w:ascii="Arial" w:hAnsi="Arial" w:cs="Arial"/>
            <w:sz w:val="20"/>
            <w:szCs w:val="20"/>
            <w:lang w:val="it-IT"/>
          </w:rPr>
          <w:t>https://www.isentress.com/raltegravir/isentress/consumer/common_side_effects_for_isentress/</w:t>
        </w:r>
      </w:hyperlink>
    </w:p>
    <w:p w:rsidR="00626E06" w:rsidRPr="00716E80" w:rsidRDefault="00626E06" w:rsidP="00B95813">
      <w:pPr>
        <w:pStyle w:val="NormalWeb"/>
        <w:spacing w:before="120" w:beforeAutospacing="0" w:after="0" w:afterAutospacing="0"/>
        <w:contextualSpacing/>
        <w:rPr>
          <w:rFonts w:ascii="Arial" w:hAnsi="Arial" w:cs="Arial"/>
          <w:sz w:val="20"/>
          <w:szCs w:val="20"/>
          <w:lang w:val="it-IT"/>
        </w:rPr>
      </w:pPr>
      <w:r w:rsidRPr="00716E80">
        <w:rPr>
          <w:rStyle w:val="Hyperlink"/>
          <w:rFonts w:ascii="Arial" w:hAnsi="Arial" w:cs="Arial"/>
          <w:color w:val="auto"/>
          <w:sz w:val="20"/>
          <w:szCs w:val="20"/>
          <w:u w:val="none"/>
          <w:lang w:val="it-IT"/>
        </w:rPr>
        <w:t xml:space="preserve">3. Truvada; </w:t>
      </w:r>
      <w:r w:rsidRPr="00716E80">
        <w:rPr>
          <w:rFonts w:ascii="Arial" w:hAnsi="Arial" w:cs="Arial"/>
          <w:color w:val="212121"/>
          <w:sz w:val="20"/>
          <w:szCs w:val="20"/>
          <w:shd w:val="clear" w:color="auto" w:fill="FFFFFF"/>
          <w:lang w:val="it-IT"/>
        </w:rPr>
        <w:t xml:space="preserve">NRTI: </w:t>
      </w:r>
      <w:hyperlink r:id="rId12" w:tgtFrame="_blank" w:history="1">
        <w:r w:rsidRPr="00716E80">
          <w:rPr>
            <w:rStyle w:val="Hyperlink"/>
            <w:rFonts w:ascii="Arial" w:hAnsi="Arial" w:cs="Arial"/>
            <w:sz w:val="20"/>
            <w:szCs w:val="20"/>
            <w:lang w:val="it-IT"/>
          </w:rPr>
          <w:t>http://www.truvada.com/patients</w:t>
        </w:r>
      </w:hyperlink>
    </w:p>
    <w:p w:rsidR="00626E06" w:rsidRPr="00716E80" w:rsidRDefault="00626E06" w:rsidP="00B95813">
      <w:pPr>
        <w:pStyle w:val="NormalWeb"/>
        <w:spacing w:before="120" w:beforeAutospacing="0" w:after="0" w:afterAutospacing="0"/>
        <w:contextualSpacing/>
        <w:rPr>
          <w:lang w:val="it-IT"/>
        </w:rPr>
      </w:pPr>
    </w:p>
    <w:p w:rsidR="00626E06" w:rsidRPr="00716E80" w:rsidRDefault="00626E06" w:rsidP="00B95813">
      <w:pPr>
        <w:pStyle w:val="NormalWeb"/>
        <w:spacing w:before="120" w:beforeAutospacing="0" w:after="0" w:afterAutospacing="0"/>
        <w:contextualSpacing/>
        <w:rPr>
          <w:rFonts w:ascii="Arial" w:hAnsi="Arial" w:cs="Arial"/>
          <w:color w:val="000000"/>
          <w:sz w:val="20"/>
          <w:szCs w:val="20"/>
          <w:lang w:val="it-IT"/>
        </w:rPr>
      </w:pPr>
    </w:p>
    <w:p w:rsidR="00626E06" w:rsidRPr="00C455D2" w:rsidRDefault="00626E06" w:rsidP="00B95813">
      <w:pPr>
        <w:pStyle w:val="NormalWeb"/>
        <w:spacing w:before="120" w:beforeAutospacing="0" w:after="0" w:afterAutospacing="0"/>
        <w:jc w:val="center"/>
        <w:rPr>
          <w:rFonts w:ascii="Arial" w:hAnsi="Arial" w:cs="Arial"/>
          <w:b/>
          <w:bCs/>
          <w:color w:val="000000"/>
          <w:sz w:val="44"/>
          <w:szCs w:val="44"/>
        </w:rPr>
      </w:pPr>
      <w:r>
        <w:rPr>
          <w:rFonts w:ascii="Arial" w:hAnsi="Arial" w:cs="Arial"/>
          <w:b/>
          <w:bCs/>
          <w:color w:val="000000"/>
          <w:sz w:val="44"/>
          <w:szCs w:val="44"/>
        </w:rPr>
        <w:lastRenderedPageBreak/>
        <w:t>LENTIVIRUS E</w:t>
      </w:r>
      <w:r w:rsidRPr="00C455D2">
        <w:rPr>
          <w:rFonts w:ascii="Arial" w:hAnsi="Arial" w:cs="Arial"/>
          <w:b/>
          <w:bCs/>
          <w:color w:val="000000"/>
          <w:sz w:val="44"/>
          <w:szCs w:val="44"/>
        </w:rPr>
        <w:t>XPOSURE RESPONSE</w:t>
      </w:r>
      <w:r>
        <w:rPr>
          <w:rFonts w:ascii="Arial" w:hAnsi="Arial" w:cs="Arial"/>
          <w:b/>
          <w:bCs/>
          <w:color w:val="000000"/>
          <w:sz w:val="44"/>
          <w:szCs w:val="44"/>
        </w:rPr>
        <w:t xml:space="preserve"> PLAN</w:t>
      </w:r>
    </w:p>
    <w:tbl>
      <w:tblPr>
        <w:tblW w:w="0" w:type="auto"/>
        <w:tblBorders>
          <w:insideH w:val="single" w:sz="4" w:space="0" w:color="auto"/>
          <w:insideV w:val="single" w:sz="4" w:space="0" w:color="auto"/>
        </w:tblBorders>
        <w:tblLook w:val="00A0" w:firstRow="1" w:lastRow="0" w:firstColumn="1" w:lastColumn="0" w:noHBand="0" w:noVBand="0"/>
      </w:tblPr>
      <w:tblGrid>
        <w:gridCol w:w="4608"/>
        <w:gridCol w:w="6408"/>
      </w:tblGrid>
      <w:tr w:rsidR="00626E06" w:rsidRPr="009523BC">
        <w:tc>
          <w:tcPr>
            <w:tcW w:w="46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Lentivirus Vector Name:</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Number of plasmids used to generate virions:</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626E06" w:rsidP="00631705">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Mutations within L</w:t>
            </w:r>
            <w:r w:rsidR="00631705">
              <w:rPr>
                <w:rFonts w:ascii="Arial" w:hAnsi="Arial" w:cs="Arial"/>
                <w:b/>
                <w:bCs/>
                <w:color w:val="000000"/>
                <w:sz w:val="18"/>
                <w:szCs w:val="18"/>
              </w:rPr>
              <w:t>V</w:t>
            </w:r>
            <w:r w:rsidRPr="009523BC">
              <w:rPr>
                <w:rFonts w:ascii="Arial" w:hAnsi="Arial" w:cs="Arial"/>
                <w:b/>
                <w:bCs/>
                <w:color w:val="000000"/>
                <w:sz w:val="18"/>
                <w:szCs w:val="18"/>
              </w:rPr>
              <w:t>V (SIN LTR or resistance):</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Transgene Function:</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Expression Control Elements:</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Production volume:</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r w:rsidRPr="009523BC">
              <w:rPr>
                <w:rFonts w:ascii="Arial" w:hAnsi="Arial" w:cs="Arial"/>
                <w:b/>
                <w:bCs/>
                <w:color w:val="000000"/>
                <w:sz w:val="18"/>
                <w:szCs w:val="18"/>
              </w:rPr>
              <w:t>Concentration:</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r w:rsidR="00626E06" w:rsidRPr="009523BC">
        <w:tc>
          <w:tcPr>
            <w:tcW w:w="4608" w:type="dxa"/>
            <w:vAlign w:val="center"/>
          </w:tcPr>
          <w:p w:rsidR="00626E06" w:rsidRPr="009523BC" w:rsidRDefault="00975C37" w:rsidP="00975C37">
            <w:pPr>
              <w:pStyle w:val="NormalWeb"/>
              <w:spacing w:before="120" w:beforeAutospacing="0"/>
              <w:rPr>
                <w:rFonts w:ascii="Arial" w:hAnsi="Arial" w:cs="Arial"/>
                <w:b/>
                <w:bCs/>
                <w:color w:val="000000"/>
                <w:sz w:val="18"/>
                <w:szCs w:val="18"/>
              </w:rPr>
            </w:pPr>
            <w:r>
              <w:rPr>
                <w:rFonts w:ascii="Arial" w:hAnsi="Arial" w:cs="Arial"/>
                <w:b/>
                <w:bCs/>
                <w:color w:val="000000"/>
                <w:sz w:val="18"/>
                <w:szCs w:val="18"/>
              </w:rPr>
              <w:t>Greater than 2/3rds of the HIV genome remaining?</w:t>
            </w:r>
          </w:p>
        </w:tc>
        <w:tc>
          <w:tcPr>
            <w:tcW w:w="6408" w:type="dxa"/>
            <w:vAlign w:val="center"/>
          </w:tcPr>
          <w:p w:rsidR="00626E06" w:rsidRPr="009523BC" w:rsidRDefault="00626E06" w:rsidP="009523BC">
            <w:pPr>
              <w:pStyle w:val="NormalWeb"/>
              <w:spacing w:before="120" w:beforeAutospacing="0"/>
              <w:rPr>
                <w:rFonts w:ascii="Arial" w:hAnsi="Arial" w:cs="Arial"/>
                <w:b/>
                <w:bCs/>
                <w:color w:val="000000"/>
                <w:sz w:val="18"/>
                <w:szCs w:val="18"/>
              </w:rPr>
            </w:pPr>
          </w:p>
        </w:tc>
      </w:tr>
    </w:tbl>
    <w:p w:rsidR="00626E06" w:rsidRPr="00C455D2" w:rsidRDefault="00626E06" w:rsidP="00D4451F">
      <w:pPr>
        <w:pStyle w:val="NormalWeb"/>
        <w:spacing w:before="120" w:beforeAutospacing="0" w:after="0" w:afterAutospacing="0"/>
        <w:contextualSpacing/>
        <w:rPr>
          <w:rFonts w:ascii="Arial" w:hAnsi="Arial" w:cs="Arial"/>
          <w:b/>
          <w:bCs/>
          <w:color w:val="000000"/>
          <w:sz w:val="20"/>
          <w:szCs w:val="20"/>
        </w:rPr>
      </w:pPr>
      <w:r w:rsidRPr="00C455D2">
        <w:rPr>
          <w:rFonts w:ascii="Arial" w:hAnsi="Arial" w:cs="Arial"/>
          <w:b/>
          <w:bCs/>
          <w:color w:val="000000"/>
          <w:sz w:val="20"/>
          <w:szCs w:val="20"/>
        </w:rPr>
        <w:t>Routes of Transmission:</w:t>
      </w:r>
    </w:p>
    <w:p w:rsidR="00626E06" w:rsidRDefault="00626E06" w:rsidP="00D4451F">
      <w:pPr>
        <w:pStyle w:val="NormalWeb"/>
        <w:spacing w:before="120" w:beforeAutospacing="0" w:after="0" w:afterAutospacing="0"/>
        <w:ind w:left="720"/>
        <w:contextualSpacing/>
        <w:rPr>
          <w:rFonts w:ascii="Arial" w:hAnsi="Arial" w:cs="Arial"/>
          <w:color w:val="000000"/>
          <w:sz w:val="20"/>
          <w:szCs w:val="20"/>
        </w:rPr>
        <w:sectPr w:rsidR="00626E06" w:rsidSect="00820E43">
          <w:type w:val="continuous"/>
          <w:pgSz w:w="12240" w:h="15840"/>
          <w:pgMar w:top="1872"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626E06" w:rsidRPr="00B95813" w:rsidRDefault="00626E06" w:rsidP="00D4451F">
      <w:pPr>
        <w:pStyle w:val="NormalWeb"/>
        <w:spacing w:before="120" w:beforeAutospacing="0" w:after="0" w:afterAutospacing="0"/>
        <w:ind w:left="720"/>
        <w:contextualSpacing/>
        <w:rPr>
          <w:rFonts w:ascii="Arial" w:hAnsi="Arial" w:cs="Arial"/>
          <w:color w:val="000000"/>
          <w:sz w:val="20"/>
          <w:szCs w:val="20"/>
          <w:u w:val="single"/>
        </w:rPr>
      </w:pPr>
      <w:r w:rsidRPr="00B95813">
        <w:rPr>
          <w:rFonts w:ascii="Arial" w:hAnsi="Arial" w:cs="Arial"/>
          <w:color w:val="000000"/>
          <w:sz w:val="20"/>
          <w:szCs w:val="20"/>
          <w:u w:val="single"/>
        </w:rPr>
        <w:lastRenderedPageBreak/>
        <w:t>Significant Exposures</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Contact with mucous membranes: eyes, nose, or mouth</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Contact with non-intact skin</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Skin puncture or injection</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D4451F">
        <w:rPr>
          <w:rFonts w:ascii="Arial" w:hAnsi="Arial" w:cs="Arial"/>
          <w:color w:val="000000"/>
          <w:sz w:val="20"/>
          <w:szCs w:val="20"/>
        </w:rPr>
        <w:t>Ingestion</w:t>
      </w:r>
    </w:p>
    <w:p w:rsidR="00626E06" w:rsidRPr="00D4451F"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D4451F">
        <w:rPr>
          <w:rFonts w:ascii="Arial" w:hAnsi="Arial" w:cs="Arial"/>
          <w:color w:val="000000"/>
          <w:sz w:val="20"/>
          <w:szCs w:val="20"/>
        </w:rPr>
        <w:t>roplets from an aerosol generating procedure</w:t>
      </w:r>
    </w:p>
    <w:p w:rsidR="00626E06" w:rsidRPr="00B95813" w:rsidRDefault="00626E06" w:rsidP="00D4451F">
      <w:pPr>
        <w:pStyle w:val="NormalWeb"/>
        <w:spacing w:before="120" w:beforeAutospacing="0" w:after="0" w:afterAutospacing="0"/>
        <w:ind w:left="720"/>
        <w:contextualSpacing/>
        <w:rPr>
          <w:rFonts w:ascii="Arial" w:hAnsi="Arial" w:cs="Arial"/>
          <w:color w:val="000000"/>
          <w:sz w:val="20"/>
          <w:szCs w:val="20"/>
          <w:u w:val="single"/>
        </w:rPr>
      </w:pPr>
      <w:r w:rsidRPr="00B95813">
        <w:rPr>
          <w:rFonts w:ascii="Arial" w:hAnsi="Arial" w:cs="Arial"/>
          <w:color w:val="000000"/>
          <w:sz w:val="20"/>
          <w:szCs w:val="20"/>
          <w:u w:val="single"/>
        </w:rPr>
        <w:lastRenderedPageBreak/>
        <w:t>Low Risk Exposures</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Bite from recently infected animal</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C</w:t>
      </w:r>
      <w:r w:rsidRPr="00C455D2">
        <w:rPr>
          <w:rFonts w:ascii="Arial" w:hAnsi="Arial" w:cs="Arial"/>
          <w:color w:val="000000"/>
          <w:sz w:val="20"/>
          <w:szCs w:val="20"/>
        </w:rPr>
        <w:t>ontact with body fluids from recently infected animal</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Intact skin contact with liquid solution or droplets</w:t>
      </w:r>
    </w:p>
    <w:p w:rsidR="00626E06" w:rsidRDefault="00626E06" w:rsidP="00D4451F">
      <w:pPr>
        <w:pStyle w:val="NormalWeb"/>
        <w:spacing w:before="120" w:beforeAutospacing="0" w:after="0" w:afterAutospacing="0"/>
        <w:contextualSpacing/>
        <w:rPr>
          <w:rFonts w:ascii="Arial" w:hAnsi="Arial" w:cs="Arial"/>
          <w:color w:val="000000"/>
          <w:sz w:val="20"/>
          <w:szCs w:val="20"/>
        </w:rPr>
      </w:pPr>
    </w:p>
    <w:p w:rsidR="00626E06" w:rsidRDefault="00626E06" w:rsidP="00D4451F">
      <w:pPr>
        <w:pStyle w:val="NormalWeb"/>
        <w:spacing w:before="120" w:beforeAutospacing="0" w:after="0" w:afterAutospacing="0"/>
        <w:contextualSpacing/>
        <w:rPr>
          <w:rFonts w:ascii="Arial" w:hAnsi="Arial" w:cs="Arial"/>
          <w:color w:val="000000"/>
          <w:sz w:val="20"/>
          <w:szCs w:val="20"/>
        </w:rPr>
        <w:sectPr w:rsidR="00626E06" w:rsidSect="00B9581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626E06" w:rsidRPr="00C455D2" w:rsidRDefault="00626E06" w:rsidP="00B95813">
      <w:pPr>
        <w:pStyle w:val="NormalWeb"/>
        <w:spacing w:before="120" w:beforeAutospacing="0" w:after="0" w:afterAutospacing="0"/>
        <w:rPr>
          <w:rFonts w:ascii="Arial" w:hAnsi="Arial" w:cs="Arial"/>
          <w:b/>
          <w:bCs/>
          <w:color w:val="000000"/>
          <w:sz w:val="20"/>
          <w:szCs w:val="20"/>
        </w:rPr>
      </w:pPr>
      <w:r w:rsidRPr="00C455D2">
        <w:rPr>
          <w:rFonts w:ascii="Arial" w:hAnsi="Arial" w:cs="Arial"/>
          <w:b/>
          <w:bCs/>
          <w:color w:val="000000"/>
          <w:sz w:val="20"/>
          <w:szCs w:val="20"/>
        </w:rPr>
        <w:lastRenderedPageBreak/>
        <w:t>First Aid:</w:t>
      </w:r>
    </w:p>
    <w:p w:rsidR="00626E06" w:rsidRPr="002751E4" w:rsidRDefault="00626E06" w:rsidP="00B95813">
      <w:pPr>
        <w:pStyle w:val="NormalWeb"/>
        <w:numPr>
          <w:ilvl w:val="0"/>
          <w:numId w:val="32"/>
        </w:numPr>
        <w:spacing w:before="0" w:beforeAutospacing="0" w:after="0" w:afterAutospacing="0"/>
        <w:rPr>
          <w:rFonts w:ascii="Arial" w:hAnsi="Arial" w:cs="Arial"/>
          <w:color w:val="000000"/>
          <w:sz w:val="20"/>
          <w:szCs w:val="20"/>
        </w:rPr>
      </w:pPr>
      <w:r w:rsidRPr="002751E4">
        <w:rPr>
          <w:rFonts w:ascii="Arial" w:hAnsi="Arial" w:cs="Arial"/>
          <w:color w:val="000000"/>
          <w:sz w:val="20"/>
          <w:szCs w:val="20"/>
        </w:rPr>
        <w:t>Call emergency personnel if i</w:t>
      </w:r>
      <w:r>
        <w:rPr>
          <w:rFonts w:ascii="Arial" w:hAnsi="Arial" w:cs="Arial"/>
          <w:color w:val="000000"/>
          <w:sz w:val="20"/>
          <w:szCs w:val="20"/>
        </w:rPr>
        <w:t xml:space="preserve">mmediate medical care is needed </w:t>
      </w:r>
      <w:r w:rsidRPr="002751E4">
        <w:rPr>
          <w:rFonts w:ascii="Arial" w:hAnsi="Arial" w:cs="Arial"/>
          <w:color w:val="000000"/>
          <w:sz w:val="20"/>
          <w:szCs w:val="20"/>
        </w:rPr>
        <w:t>(</w:t>
      </w:r>
      <w:r>
        <w:rPr>
          <w:rFonts w:ascii="Arial" w:hAnsi="Arial" w:cs="Arial"/>
          <w:color w:val="000000"/>
          <w:sz w:val="20"/>
          <w:szCs w:val="20"/>
        </w:rPr>
        <w:t>WSU Police: 313 577 2222</w:t>
      </w:r>
      <w:r w:rsidRPr="002751E4">
        <w:rPr>
          <w:rFonts w:ascii="Arial" w:hAnsi="Arial" w:cs="Arial"/>
          <w:color w:val="000000"/>
          <w:sz w:val="20"/>
          <w:szCs w:val="20"/>
        </w:rPr>
        <w:t>)</w:t>
      </w:r>
    </w:p>
    <w:p w:rsidR="00626E06" w:rsidRPr="002751E4"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2751E4">
        <w:rPr>
          <w:rFonts w:ascii="Arial" w:hAnsi="Arial" w:cs="Arial"/>
          <w:color w:val="000000"/>
          <w:sz w:val="20"/>
          <w:szCs w:val="20"/>
        </w:rPr>
        <w:t>Stabilize the individual and prov</w:t>
      </w:r>
      <w:r>
        <w:rPr>
          <w:rFonts w:ascii="Arial" w:hAnsi="Arial" w:cs="Arial"/>
          <w:color w:val="000000"/>
          <w:sz w:val="20"/>
          <w:szCs w:val="20"/>
        </w:rPr>
        <w:t xml:space="preserve">ide first aid for injuries that </w:t>
      </w:r>
      <w:r w:rsidRPr="002751E4">
        <w:rPr>
          <w:rFonts w:ascii="Arial" w:hAnsi="Arial" w:cs="Arial"/>
          <w:color w:val="000000"/>
          <w:sz w:val="20"/>
          <w:szCs w:val="20"/>
        </w:rPr>
        <w:t>require immediate medical care (e</w:t>
      </w:r>
      <w:r>
        <w:rPr>
          <w:rFonts w:ascii="Arial" w:hAnsi="Arial" w:cs="Arial"/>
          <w:color w:val="000000"/>
          <w:sz w:val="20"/>
          <w:szCs w:val="20"/>
        </w:rPr>
        <w:t>.</w:t>
      </w:r>
      <w:r w:rsidRPr="002751E4">
        <w:rPr>
          <w:rFonts w:ascii="Arial" w:hAnsi="Arial" w:cs="Arial"/>
          <w:color w:val="000000"/>
          <w:sz w:val="20"/>
          <w:szCs w:val="20"/>
        </w:rPr>
        <w:t>g</w:t>
      </w:r>
      <w:r>
        <w:rPr>
          <w:rFonts w:ascii="Arial" w:hAnsi="Arial" w:cs="Arial"/>
          <w:color w:val="000000"/>
          <w:sz w:val="20"/>
          <w:szCs w:val="20"/>
        </w:rPr>
        <w:t>.</w:t>
      </w:r>
      <w:r w:rsidRPr="002751E4">
        <w:rPr>
          <w:rFonts w:ascii="Arial" w:hAnsi="Arial" w:cs="Arial"/>
          <w:color w:val="000000"/>
          <w:sz w:val="20"/>
          <w:szCs w:val="20"/>
        </w:rPr>
        <w:t xml:space="preserve"> deep cuts, bleeding, etc.)</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Skin Exposure: wash with soap and water: flush area with water</w:t>
      </w:r>
      <w:r>
        <w:rPr>
          <w:rFonts w:ascii="Arial" w:hAnsi="Arial" w:cs="Arial"/>
          <w:color w:val="000000"/>
          <w:sz w:val="20"/>
          <w:szCs w:val="20"/>
        </w:rPr>
        <w:t xml:space="preserve"> </w:t>
      </w:r>
      <w:r w:rsidRPr="00C455D2">
        <w:rPr>
          <w:rFonts w:ascii="Arial" w:hAnsi="Arial" w:cs="Arial"/>
          <w:color w:val="000000"/>
          <w:sz w:val="20"/>
          <w:szCs w:val="20"/>
        </w:rPr>
        <w:t>10-15 minutes</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Eye(s), Nose, Mouth Exposure: irrigate with running water for 15 minutes</w:t>
      </w:r>
    </w:p>
    <w:p w:rsidR="00626E06" w:rsidRDefault="00626E06" w:rsidP="00B95813">
      <w:pPr>
        <w:pStyle w:val="NormalWeb"/>
        <w:numPr>
          <w:ilvl w:val="0"/>
          <w:numId w:val="32"/>
        </w:numPr>
        <w:spacing w:before="120" w:beforeAutospacing="0" w:after="0" w:afterAutospacing="0"/>
        <w:contextualSpacing/>
        <w:rPr>
          <w:rFonts w:ascii="Arial" w:hAnsi="Arial" w:cs="Arial"/>
          <w:b/>
          <w:bCs/>
          <w:color w:val="000000"/>
          <w:sz w:val="20"/>
          <w:szCs w:val="20"/>
        </w:rPr>
      </w:pPr>
      <w:r>
        <w:rPr>
          <w:rFonts w:ascii="Arial" w:hAnsi="Arial" w:cs="Arial"/>
          <w:b/>
          <w:bCs/>
          <w:color w:val="000000"/>
          <w:sz w:val="20"/>
          <w:szCs w:val="20"/>
        </w:rPr>
        <w:t>Seek Professional Medical Treatment in the event of an exposure</w:t>
      </w:r>
    </w:p>
    <w:p w:rsidR="00626E06" w:rsidRPr="003E6825" w:rsidRDefault="00626E06" w:rsidP="00B95813">
      <w:pPr>
        <w:pStyle w:val="NormalWeb"/>
        <w:spacing w:before="120" w:beforeAutospacing="0" w:after="0" w:afterAutospacing="0"/>
        <w:rPr>
          <w:rFonts w:ascii="Arial" w:hAnsi="Arial" w:cs="Arial"/>
          <w:b/>
          <w:bCs/>
          <w:color w:val="000000"/>
          <w:sz w:val="20"/>
          <w:szCs w:val="20"/>
        </w:rPr>
      </w:pPr>
      <w:r w:rsidRPr="003E6825">
        <w:rPr>
          <w:rFonts w:ascii="Arial" w:hAnsi="Arial" w:cs="Arial"/>
          <w:b/>
          <w:bCs/>
          <w:color w:val="000000"/>
          <w:sz w:val="20"/>
          <w:szCs w:val="20"/>
        </w:rPr>
        <w:t>Post</w:t>
      </w:r>
      <w:r>
        <w:rPr>
          <w:rFonts w:ascii="Arial" w:hAnsi="Arial" w:cs="Arial"/>
          <w:b/>
          <w:bCs/>
          <w:color w:val="000000"/>
          <w:sz w:val="20"/>
          <w:szCs w:val="20"/>
        </w:rPr>
        <w:t>-</w:t>
      </w:r>
      <w:r w:rsidRPr="003E6825">
        <w:rPr>
          <w:rFonts w:ascii="Arial" w:hAnsi="Arial" w:cs="Arial"/>
          <w:b/>
          <w:bCs/>
          <w:color w:val="000000"/>
          <w:sz w:val="20"/>
          <w:szCs w:val="20"/>
        </w:rPr>
        <w:t>exposure Prophylaxis</w:t>
      </w:r>
      <w:r>
        <w:rPr>
          <w:rFonts w:ascii="Arial" w:hAnsi="Arial" w:cs="Arial"/>
          <w:b/>
          <w:bCs/>
          <w:color w:val="000000"/>
          <w:sz w:val="20"/>
          <w:szCs w:val="20"/>
        </w:rPr>
        <w:t>:</w:t>
      </w:r>
    </w:p>
    <w:p w:rsidR="00626E06" w:rsidRPr="002751E4" w:rsidRDefault="00626E06" w:rsidP="00B95813">
      <w:pPr>
        <w:pStyle w:val="NormalWeb"/>
        <w:spacing w:before="0" w:beforeAutospacing="0" w:after="0" w:afterAutospacing="0"/>
        <w:rPr>
          <w:rFonts w:ascii="Arial" w:hAnsi="Arial" w:cs="Arial"/>
          <w:color w:val="000000"/>
          <w:sz w:val="20"/>
          <w:szCs w:val="20"/>
        </w:rPr>
      </w:pPr>
      <w:r w:rsidRPr="002751E4">
        <w:rPr>
          <w:rFonts w:ascii="Arial" w:hAnsi="Arial" w:cs="Arial"/>
          <w:color w:val="000000"/>
          <w:sz w:val="20"/>
          <w:szCs w:val="20"/>
        </w:rPr>
        <w:t>Based upon discussion before the inc</w:t>
      </w:r>
      <w:r>
        <w:rPr>
          <w:rFonts w:ascii="Arial" w:hAnsi="Arial" w:cs="Arial"/>
          <w:color w:val="000000"/>
          <w:sz w:val="20"/>
          <w:szCs w:val="20"/>
        </w:rPr>
        <w:t xml:space="preserve">ident, the following treatments </w:t>
      </w:r>
      <w:r w:rsidRPr="002751E4">
        <w:rPr>
          <w:rFonts w:ascii="Arial" w:hAnsi="Arial" w:cs="Arial"/>
          <w:color w:val="000000"/>
          <w:sz w:val="20"/>
          <w:szCs w:val="20"/>
        </w:rPr>
        <w:t>may be offered.</w:t>
      </w:r>
    </w:p>
    <w:p w:rsidR="00626E06" w:rsidRDefault="00626E06" w:rsidP="00D4451F">
      <w:pPr>
        <w:pStyle w:val="NormalWeb"/>
        <w:numPr>
          <w:ilvl w:val="0"/>
          <w:numId w:val="50"/>
        </w:numPr>
        <w:spacing w:before="120" w:beforeAutospacing="0" w:after="0" w:afterAutospacing="0"/>
        <w:contextualSpacing/>
        <w:rPr>
          <w:rFonts w:ascii="Arial" w:hAnsi="Arial" w:cs="Arial"/>
          <w:color w:val="000000"/>
          <w:sz w:val="20"/>
          <w:szCs w:val="20"/>
        </w:rPr>
      </w:pPr>
      <w:r w:rsidRPr="002751E4">
        <w:rPr>
          <w:rFonts w:ascii="Arial" w:hAnsi="Arial" w:cs="Arial"/>
          <w:color w:val="000000"/>
          <w:sz w:val="20"/>
          <w:szCs w:val="20"/>
        </w:rPr>
        <w:t>As soon as possible but within 72 hours, initiate a 7-day course</w:t>
      </w:r>
      <w:r>
        <w:rPr>
          <w:rFonts w:ascii="Arial" w:hAnsi="Arial" w:cs="Arial"/>
          <w:color w:val="000000"/>
          <w:sz w:val="20"/>
          <w:szCs w:val="20"/>
        </w:rPr>
        <w:t xml:space="preserve"> of a NRTI </w:t>
      </w:r>
      <w:r w:rsidRPr="002751E4">
        <w:rPr>
          <w:rFonts w:ascii="Arial" w:hAnsi="Arial" w:cs="Arial"/>
          <w:color w:val="000000"/>
          <w:sz w:val="20"/>
          <w:szCs w:val="20"/>
        </w:rPr>
        <w:t>a</w:t>
      </w:r>
      <w:r>
        <w:rPr>
          <w:rFonts w:ascii="Arial" w:hAnsi="Arial" w:cs="Arial"/>
          <w:color w:val="000000"/>
          <w:sz w:val="20"/>
          <w:szCs w:val="20"/>
        </w:rPr>
        <w:t xml:space="preserve">nd/or an integrase inhibitor </w:t>
      </w:r>
    </w:p>
    <w:p w:rsidR="00626E06" w:rsidRDefault="00626E06" w:rsidP="00D4451F">
      <w:pPr>
        <w:pStyle w:val="NormalWeb"/>
        <w:numPr>
          <w:ilvl w:val="0"/>
          <w:numId w:val="50"/>
        </w:numPr>
        <w:spacing w:before="120" w:beforeAutospacing="0" w:after="0" w:afterAutospacing="0"/>
        <w:contextualSpacing/>
        <w:rPr>
          <w:rFonts w:ascii="Arial" w:hAnsi="Arial" w:cs="Arial"/>
          <w:color w:val="000000"/>
          <w:sz w:val="20"/>
          <w:szCs w:val="20"/>
        </w:rPr>
      </w:pPr>
      <w:r w:rsidRPr="002751E4">
        <w:rPr>
          <w:rFonts w:ascii="Arial" w:hAnsi="Arial" w:cs="Arial"/>
          <w:color w:val="000000"/>
          <w:sz w:val="20"/>
          <w:szCs w:val="20"/>
        </w:rPr>
        <w:t>Observation and treatment o</w:t>
      </w:r>
      <w:r>
        <w:rPr>
          <w:rFonts w:ascii="Arial" w:hAnsi="Arial" w:cs="Arial"/>
          <w:color w:val="000000"/>
          <w:sz w:val="20"/>
          <w:szCs w:val="20"/>
        </w:rPr>
        <w:t>f overt effects of the exposure incident</w:t>
      </w:r>
    </w:p>
    <w:p w:rsidR="00626E06" w:rsidRPr="002751E4" w:rsidRDefault="00626E06" w:rsidP="00D4451F">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If no prior discussion about treatment has occurred, treatment with a NRTI and/or an integrase inhibitor should be considered and begin within 72 hours and continued based upon a discussion and acceptance of the risks and benefits of treatment.</w:t>
      </w:r>
    </w:p>
    <w:p w:rsidR="00626E06" w:rsidRPr="00C455D2" w:rsidRDefault="00626E06" w:rsidP="00D4451F">
      <w:pPr>
        <w:pStyle w:val="NormalWeb"/>
        <w:spacing w:before="120" w:beforeAutospacing="0" w:after="0" w:afterAutospacing="0"/>
        <w:rPr>
          <w:rFonts w:ascii="Arial" w:hAnsi="Arial" w:cs="Arial"/>
          <w:b/>
          <w:bCs/>
          <w:color w:val="000000"/>
          <w:sz w:val="20"/>
          <w:szCs w:val="20"/>
        </w:rPr>
      </w:pPr>
      <w:r w:rsidRPr="00C455D2">
        <w:rPr>
          <w:rFonts w:ascii="Arial" w:hAnsi="Arial" w:cs="Arial"/>
          <w:b/>
          <w:bCs/>
          <w:color w:val="000000"/>
          <w:sz w:val="20"/>
          <w:szCs w:val="20"/>
        </w:rPr>
        <w:t>Report Incidents &amp; Seek Care:</w:t>
      </w:r>
    </w:p>
    <w:p w:rsidR="00626E06" w:rsidRPr="00C455D2" w:rsidRDefault="00626E06" w:rsidP="00B95813">
      <w:pPr>
        <w:pStyle w:val="NormalWeb"/>
        <w:numPr>
          <w:ilvl w:val="0"/>
          <w:numId w:val="32"/>
        </w:numPr>
        <w:spacing w:before="0" w:beforeAutospacing="0" w:after="0" w:afterAutospacing="0"/>
        <w:rPr>
          <w:rFonts w:ascii="Arial" w:hAnsi="Arial" w:cs="Arial"/>
          <w:color w:val="000000"/>
          <w:sz w:val="20"/>
          <w:szCs w:val="20"/>
        </w:rPr>
      </w:pPr>
      <w:r w:rsidRPr="00C455D2">
        <w:rPr>
          <w:rFonts w:ascii="Arial" w:hAnsi="Arial" w:cs="Arial"/>
          <w:color w:val="000000"/>
          <w:sz w:val="20"/>
          <w:szCs w:val="20"/>
        </w:rPr>
        <w:t>Take a copy of this document with you to the medical care facility</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Care should be sought as soon as possible</w:t>
      </w:r>
      <w:r>
        <w:rPr>
          <w:rFonts w:ascii="Arial" w:hAnsi="Arial" w:cs="Arial"/>
          <w:color w:val="000000"/>
          <w:sz w:val="20"/>
          <w:szCs w:val="20"/>
        </w:rPr>
        <w:t>,</w:t>
      </w:r>
      <w:r w:rsidRPr="00C455D2">
        <w:rPr>
          <w:rFonts w:ascii="Arial" w:hAnsi="Arial" w:cs="Arial"/>
          <w:color w:val="000000"/>
          <w:sz w:val="20"/>
          <w:szCs w:val="20"/>
        </w:rPr>
        <w:t xml:space="preserve"> within 2 hours after exposure at OHS-4K Clinic or </w:t>
      </w:r>
      <w:r w:rsidRPr="00736646">
        <w:rPr>
          <w:rFonts w:ascii="Arial" w:hAnsi="Arial" w:cs="Arial"/>
          <w:color w:val="000000"/>
          <w:sz w:val="20"/>
          <w:szCs w:val="20"/>
        </w:rPr>
        <w:t>DRH-</w:t>
      </w:r>
      <w:r w:rsidRPr="00C455D2">
        <w:rPr>
          <w:rFonts w:ascii="Arial" w:hAnsi="Arial" w:cs="Arial"/>
          <w:color w:val="000000"/>
          <w:sz w:val="20"/>
          <w:szCs w:val="20"/>
        </w:rPr>
        <w:t>ER Department. After 72 hours, prophylactic medications may not be effective (although clinical follow-up remains essential).</w:t>
      </w:r>
    </w:p>
    <w:p w:rsidR="00626E06" w:rsidRDefault="00626E06" w:rsidP="00B95813">
      <w:pPr>
        <w:pStyle w:val="NormalWeb"/>
        <w:numPr>
          <w:ilvl w:val="0"/>
          <w:numId w:val="32"/>
        </w:numPr>
        <w:spacing w:before="0" w:beforeAutospacing="0" w:after="0" w:afterAutospacing="0"/>
        <w:contextualSpacing/>
        <w:rPr>
          <w:rFonts w:ascii="Arial" w:hAnsi="Arial" w:cs="Arial"/>
          <w:color w:val="000000"/>
          <w:sz w:val="20"/>
          <w:szCs w:val="20"/>
        </w:rPr>
      </w:pPr>
      <w:r w:rsidRPr="00C455D2">
        <w:rPr>
          <w:rFonts w:ascii="Arial" w:hAnsi="Arial" w:cs="Arial"/>
          <w:color w:val="000000"/>
          <w:sz w:val="20"/>
          <w:szCs w:val="20"/>
        </w:rPr>
        <w:t>Notify PI of all accidents, injuries, or exp</w:t>
      </w:r>
      <w:r>
        <w:rPr>
          <w:rFonts w:ascii="Arial" w:hAnsi="Arial" w:cs="Arial"/>
          <w:color w:val="000000"/>
          <w:sz w:val="20"/>
          <w:szCs w:val="20"/>
        </w:rPr>
        <w:t xml:space="preserve">osures involving lentiviruses </w:t>
      </w:r>
    </w:p>
    <w:p w:rsidR="00626E06" w:rsidRPr="00C455D2" w:rsidRDefault="00626E06" w:rsidP="00B95813">
      <w:pPr>
        <w:pStyle w:val="NormalWeb"/>
        <w:numPr>
          <w:ilvl w:val="0"/>
          <w:numId w:val="32"/>
        </w:numPr>
        <w:spacing w:before="0" w:beforeAutospacing="0" w:after="0" w:afterAutospacing="0"/>
        <w:rPr>
          <w:rFonts w:ascii="Arial" w:hAnsi="Arial" w:cs="Arial"/>
          <w:color w:val="000000"/>
          <w:sz w:val="20"/>
          <w:szCs w:val="20"/>
        </w:rPr>
      </w:pPr>
      <w:r w:rsidRPr="00C455D2">
        <w:rPr>
          <w:rFonts w:ascii="Arial" w:hAnsi="Arial" w:cs="Arial"/>
          <w:color w:val="000000"/>
          <w:sz w:val="20"/>
          <w:szCs w:val="20"/>
        </w:rPr>
        <w:t xml:space="preserve">Document incidents on WSU ‘Report of Injury From’ </w:t>
      </w:r>
      <w:hyperlink r:id="rId13" w:history="1">
        <w:r w:rsidRPr="003E6825">
          <w:rPr>
            <w:rStyle w:val="Hyperlink"/>
            <w:rFonts w:ascii="Arial" w:hAnsi="Arial" w:cs="Arial"/>
            <w:sz w:val="20"/>
            <w:szCs w:val="20"/>
          </w:rPr>
          <w:t>http://idrm.wayne.edu/risk/rofi.pdf</w:t>
        </w:r>
      </w:hyperlink>
    </w:p>
    <w:p w:rsidR="00626E06" w:rsidRPr="00C455D2" w:rsidRDefault="00626E06" w:rsidP="00D4451F">
      <w:pPr>
        <w:pStyle w:val="NormalWeb"/>
        <w:spacing w:before="120" w:beforeAutospacing="0" w:after="0" w:afterAutospacing="0"/>
        <w:rPr>
          <w:rFonts w:ascii="Arial" w:hAnsi="Arial" w:cs="Arial"/>
          <w:b/>
          <w:bCs/>
          <w:color w:val="000000"/>
          <w:sz w:val="20"/>
          <w:szCs w:val="20"/>
        </w:rPr>
      </w:pPr>
      <w:r w:rsidRPr="00C455D2">
        <w:rPr>
          <w:rFonts w:ascii="Arial" w:hAnsi="Arial" w:cs="Arial"/>
          <w:b/>
          <w:bCs/>
          <w:color w:val="000000"/>
          <w:sz w:val="20"/>
          <w:szCs w:val="20"/>
        </w:rPr>
        <w:t>EXPOSURE RESPONSE CONTACTS</w:t>
      </w:r>
    </w:p>
    <w:p w:rsidR="00626E06" w:rsidRPr="00C455D2" w:rsidRDefault="00626E06" w:rsidP="00B95813">
      <w:pPr>
        <w:pStyle w:val="NormalWeb"/>
        <w:numPr>
          <w:ilvl w:val="0"/>
          <w:numId w:val="32"/>
        </w:numPr>
        <w:spacing w:before="0" w:beforeAutospacing="0" w:after="0" w:afterAutospacing="0"/>
        <w:rPr>
          <w:rFonts w:ascii="Arial" w:hAnsi="Arial" w:cs="Arial"/>
          <w:b/>
          <w:bCs/>
          <w:color w:val="000000"/>
          <w:sz w:val="20"/>
          <w:szCs w:val="20"/>
        </w:rPr>
      </w:pPr>
      <w:r w:rsidRPr="00C455D2">
        <w:rPr>
          <w:rFonts w:ascii="Arial" w:hAnsi="Arial" w:cs="Arial"/>
          <w:b/>
          <w:bCs/>
          <w:color w:val="000000"/>
          <w:sz w:val="20"/>
          <w:szCs w:val="20"/>
        </w:rPr>
        <w:t xml:space="preserve">Principal Investigator (PI): </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b/>
          <w:bCs/>
          <w:color w:val="000000"/>
          <w:sz w:val="20"/>
          <w:szCs w:val="20"/>
        </w:rPr>
        <w:t>WSU Public Safety:</w:t>
      </w:r>
      <w:r w:rsidRPr="00C455D2">
        <w:rPr>
          <w:rFonts w:ascii="Arial" w:hAnsi="Arial" w:cs="Arial"/>
          <w:color w:val="000000"/>
          <w:sz w:val="20"/>
          <w:szCs w:val="20"/>
        </w:rPr>
        <w:t xml:space="preserve"> 313-577-2222, emergency transportation</w:t>
      </w:r>
    </w:p>
    <w:p w:rsidR="00626E06" w:rsidRPr="00C455D2"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b/>
          <w:bCs/>
          <w:color w:val="000000"/>
          <w:sz w:val="20"/>
          <w:szCs w:val="20"/>
        </w:rPr>
        <w:t>Occupational Health Services (OHS-4K):</w:t>
      </w:r>
      <w:r w:rsidRPr="00C455D2">
        <w:rPr>
          <w:rFonts w:ascii="Arial" w:hAnsi="Arial" w:cs="Arial"/>
          <w:color w:val="000000"/>
          <w:sz w:val="20"/>
          <w:szCs w:val="20"/>
        </w:rPr>
        <w:t xml:space="preserve"> 313-745-5123, available 7am-4:30pm</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b/>
          <w:bCs/>
          <w:color w:val="000000"/>
          <w:sz w:val="20"/>
          <w:szCs w:val="20"/>
        </w:rPr>
        <w:t>Detroit Receiving Hospital ER:</w:t>
      </w:r>
      <w:r w:rsidRPr="00C455D2">
        <w:rPr>
          <w:rFonts w:ascii="Arial" w:hAnsi="Arial" w:cs="Arial"/>
          <w:color w:val="000000"/>
          <w:sz w:val="20"/>
          <w:szCs w:val="20"/>
        </w:rPr>
        <w:t xml:space="preserve"> 313-745-33</w:t>
      </w:r>
      <w:r>
        <w:rPr>
          <w:rFonts w:ascii="Arial" w:hAnsi="Arial" w:cs="Arial"/>
          <w:color w:val="000000"/>
          <w:sz w:val="20"/>
          <w:szCs w:val="20"/>
        </w:rPr>
        <w:t>55, available outside OHS hours</w:t>
      </w:r>
    </w:p>
    <w:p w:rsidR="00626E06" w:rsidRPr="003E6825"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sidRPr="00C455D2">
        <w:rPr>
          <w:rFonts w:ascii="Arial" w:hAnsi="Arial" w:cs="Arial"/>
          <w:b/>
          <w:bCs/>
          <w:color w:val="000000"/>
          <w:sz w:val="20"/>
          <w:szCs w:val="20"/>
        </w:rPr>
        <w:t>Office</w:t>
      </w:r>
      <w:r>
        <w:rPr>
          <w:rFonts w:ascii="Arial" w:hAnsi="Arial" w:cs="Arial"/>
          <w:b/>
          <w:bCs/>
          <w:color w:val="000000"/>
          <w:sz w:val="20"/>
          <w:szCs w:val="20"/>
        </w:rPr>
        <w:t xml:space="preserve"> of Environment Health &amp; Safety</w:t>
      </w:r>
      <w:r w:rsidRPr="00C455D2">
        <w:rPr>
          <w:rFonts w:ascii="Arial" w:hAnsi="Arial" w:cs="Arial"/>
          <w:b/>
          <w:bCs/>
          <w:color w:val="000000"/>
          <w:sz w:val="20"/>
          <w:szCs w:val="20"/>
        </w:rPr>
        <w:t xml:space="preserve">: </w:t>
      </w:r>
      <w:r w:rsidRPr="00C455D2">
        <w:rPr>
          <w:rFonts w:ascii="Arial" w:hAnsi="Arial" w:cs="Arial"/>
          <w:color w:val="000000"/>
          <w:sz w:val="20"/>
          <w:szCs w:val="20"/>
        </w:rPr>
        <w:t>313-577-1200, spills or clean-up</w:t>
      </w:r>
    </w:p>
    <w:p w:rsidR="00626E06" w:rsidRDefault="00626E06" w:rsidP="00D4451F">
      <w:pPr>
        <w:pStyle w:val="NormalWeb"/>
        <w:numPr>
          <w:ilvl w:val="0"/>
          <w:numId w:val="32"/>
        </w:numPr>
        <w:spacing w:before="120" w:beforeAutospacing="0" w:after="0" w:afterAutospacing="0"/>
        <w:contextualSpacing/>
        <w:rPr>
          <w:rFonts w:ascii="Arial" w:hAnsi="Arial" w:cs="Arial"/>
          <w:color w:val="000000"/>
          <w:sz w:val="20"/>
          <w:szCs w:val="20"/>
        </w:rPr>
      </w:pPr>
      <w:r>
        <w:rPr>
          <w:rFonts w:ascii="Arial" w:hAnsi="Arial" w:cs="Arial"/>
          <w:b/>
          <w:bCs/>
          <w:color w:val="000000"/>
          <w:sz w:val="20"/>
          <w:szCs w:val="20"/>
        </w:rPr>
        <w:t>Institutional Biosafety Committee Contact</w:t>
      </w:r>
      <w:r w:rsidRPr="00C455D2">
        <w:rPr>
          <w:rFonts w:ascii="Arial" w:hAnsi="Arial" w:cs="Arial"/>
          <w:b/>
          <w:bCs/>
          <w:color w:val="000000"/>
          <w:sz w:val="20"/>
          <w:szCs w:val="20"/>
        </w:rPr>
        <w:t>:</w:t>
      </w:r>
      <w:r w:rsidRPr="00C455D2">
        <w:rPr>
          <w:rFonts w:ascii="Arial" w:hAnsi="Arial" w:cs="Arial"/>
          <w:color w:val="000000"/>
          <w:sz w:val="20"/>
          <w:szCs w:val="20"/>
        </w:rPr>
        <w:t xml:space="preserve"> Richard Pearson. PhD, 313-993-7597</w:t>
      </w:r>
    </w:p>
    <w:p w:rsidR="00626E06" w:rsidRDefault="00626E06" w:rsidP="00D4451F">
      <w:pPr>
        <w:pStyle w:val="NormalWeb"/>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Reference:</w:t>
      </w:r>
    </w:p>
    <w:p w:rsidR="00626E06" w:rsidRPr="00C455D2" w:rsidRDefault="00626E06" w:rsidP="00D4451F">
      <w:pPr>
        <w:pStyle w:val="NormalWeb"/>
        <w:spacing w:before="120" w:beforeAutospacing="0" w:after="0" w:afterAutospacing="0"/>
        <w:contextualSpacing/>
        <w:rPr>
          <w:rFonts w:ascii="Arial" w:hAnsi="Arial" w:cs="Arial"/>
          <w:color w:val="000000"/>
          <w:sz w:val="20"/>
          <w:szCs w:val="20"/>
        </w:rPr>
      </w:pPr>
      <w:r>
        <w:rPr>
          <w:rFonts w:ascii="Arial" w:hAnsi="Arial" w:cs="Arial"/>
          <w:color w:val="000000"/>
          <w:sz w:val="20"/>
          <w:szCs w:val="20"/>
        </w:rPr>
        <w:t xml:space="preserve"> 1. </w:t>
      </w:r>
      <w:hyperlink r:id="rId14" w:history="1">
        <w:r w:rsidRPr="00C455D2">
          <w:rPr>
            <w:rStyle w:val="Hyperlink"/>
            <w:rFonts w:ascii="Arial" w:hAnsi="Arial" w:cs="Arial"/>
            <w:sz w:val="20"/>
            <w:szCs w:val="20"/>
          </w:rPr>
          <w:t>http://journals.lww.com/joem/Fulltext/2016/12000/Risks_Associated_With_Lentiviral_Vector_Exposures.1.aspx</w:t>
        </w:r>
      </w:hyperlink>
    </w:p>
    <w:sectPr w:rsidR="00626E06" w:rsidRPr="00C455D2" w:rsidSect="00716E80">
      <w:type w:val="continuous"/>
      <w:pgSz w:w="12240" w:h="15840"/>
      <w:pgMar w:top="1872"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0D" w:rsidRDefault="002A4B0D" w:rsidP="00ED523C">
      <w:pPr>
        <w:spacing w:after="0" w:line="240" w:lineRule="auto"/>
      </w:pPr>
      <w:r>
        <w:separator/>
      </w:r>
    </w:p>
  </w:endnote>
  <w:endnote w:type="continuationSeparator" w:id="0">
    <w:p w:rsidR="002A4B0D" w:rsidRDefault="002A4B0D" w:rsidP="00ED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06" w:rsidRDefault="00626E06">
    <w:pPr>
      <w:pStyle w:val="Footer"/>
    </w:pPr>
    <w:r>
      <w:t>OEHS 2017</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0D" w:rsidRDefault="002A4B0D" w:rsidP="00ED523C">
      <w:pPr>
        <w:spacing w:after="0" w:line="240" w:lineRule="auto"/>
      </w:pPr>
      <w:r>
        <w:separator/>
      </w:r>
    </w:p>
  </w:footnote>
  <w:footnote w:type="continuationSeparator" w:id="0">
    <w:p w:rsidR="002A4B0D" w:rsidRDefault="002A4B0D" w:rsidP="00ED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06" w:rsidRDefault="00716E80">
    <w:pPr>
      <w:pStyle w:val="Header"/>
    </w:pPr>
    <w:r>
      <w:rPr>
        <w:noProof/>
      </w:rPr>
      <w:drawing>
        <wp:anchor distT="0" distB="0" distL="114300" distR="114300" simplePos="0" relativeHeight="251660288" behindDoc="0" locked="0" layoutInCell="1" allowOverlap="1">
          <wp:simplePos x="0" y="0"/>
          <wp:positionH relativeFrom="column">
            <wp:posOffset>43815</wp:posOffset>
          </wp:positionH>
          <wp:positionV relativeFrom="paragraph">
            <wp:posOffset>111125</wp:posOffset>
          </wp:positionV>
          <wp:extent cx="1261745" cy="457200"/>
          <wp:effectExtent l="0" t="0" r="0" b="0"/>
          <wp:wrapSquare wrapText="bothSides"/>
          <wp:docPr id="1" name="Picture 4" descr="W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5877560</wp:posOffset>
          </wp:positionH>
          <wp:positionV relativeFrom="paragraph">
            <wp:posOffset>-29845</wp:posOffset>
          </wp:positionV>
          <wp:extent cx="895985" cy="676910"/>
          <wp:effectExtent l="0" t="0" r="0" b="0"/>
          <wp:wrapSquare wrapText="bothSides"/>
          <wp:docPr id="2" name="Picture 6" descr="oeh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ehs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EEE"/>
    <w:multiLevelType w:val="hybridMultilevel"/>
    <w:tmpl w:val="21B8F3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81E2708"/>
    <w:multiLevelType w:val="hybridMultilevel"/>
    <w:tmpl w:val="39528C14"/>
    <w:lvl w:ilvl="0" w:tplc="3F54D3C2">
      <w:start w:val="1"/>
      <w:numFmt w:val="decimal"/>
      <w:lvlText w:val="%1."/>
      <w:lvlJc w:val="left"/>
      <w:pPr>
        <w:ind w:left="135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4743E"/>
    <w:multiLevelType w:val="hybridMultilevel"/>
    <w:tmpl w:val="6DA4CBA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095B1150"/>
    <w:multiLevelType w:val="hybridMultilevel"/>
    <w:tmpl w:val="AF946E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0F0E3C8E"/>
    <w:multiLevelType w:val="hybridMultilevel"/>
    <w:tmpl w:val="951254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3597F7E"/>
    <w:multiLevelType w:val="hybridMultilevel"/>
    <w:tmpl w:val="93F21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3BB2F75"/>
    <w:multiLevelType w:val="hybridMultilevel"/>
    <w:tmpl w:val="BE7C4B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84C52D8"/>
    <w:multiLevelType w:val="hybridMultilevel"/>
    <w:tmpl w:val="F87093E2"/>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nsid w:val="1CCB3CF5"/>
    <w:multiLevelType w:val="hybridMultilevel"/>
    <w:tmpl w:val="7FF8DB38"/>
    <w:lvl w:ilvl="0" w:tplc="3F54D3C2">
      <w:start w:val="1"/>
      <w:numFmt w:val="decimal"/>
      <w:lvlText w:val="%1."/>
      <w:lvlJc w:val="left"/>
      <w:pPr>
        <w:ind w:left="135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30BA6"/>
    <w:multiLevelType w:val="hybridMultilevel"/>
    <w:tmpl w:val="EB00F8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7E93EF8"/>
    <w:multiLevelType w:val="hybridMultilevel"/>
    <w:tmpl w:val="BEF2FF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29816CAA"/>
    <w:multiLevelType w:val="multilevel"/>
    <w:tmpl w:val="1FEC0E1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9C05ABD"/>
    <w:multiLevelType w:val="hybridMultilevel"/>
    <w:tmpl w:val="FB2A18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B675116"/>
    <w:multiLevelType w:val="hybridMultilevel"/>
    <w:tmpl w:val="D8F605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17E6C39"/>
    <w:multiLevelType w:val="hybridMultilevel"/>
    <w:tmpl w:val="0002B452"/>
    <w:lvl w:ilvl="0" w:tplc="0409000F">
      <w:start w:val="1"/>
      <w:numFmt w:val="decimal"/>
      <w:lvlText w:val="%1."/>
      <w:lvlJc w:val="left"/>
      <w:pPr>
        <w:ind w:left="720" w:hanging="360"/>
      </w:pPr>
    </w:lvl>
    <w:lvl w:ilvl="1" w:tplc="3CBC6C74">
      <w:numFmt w:val="bullet"/>
      <w:lvlText w:val="•"/>
      <w:lvlJc w:val="left"/>
      <w:pPr>
        <w:ind w:left="1800" w:hanging="720"/>
      </w:pPr>
      <w:rPr>
        <w:rFonts w:ascii="Arial" w:eastAsia="Times New Roman"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F2396"/>
    <w:multiLevelType w:val="hybridMultilevel"/>
    <w:tmpl w:val="D5E8C7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BC66319"/>
    <w:multiLevelType w:val="hybridMultilevel"/>
    <w:tmpl w:val="2190EE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DE538D0"/>
    <w:multiLevelType w:val="hybridMultilevel"/>
    <w:tmpl w:val="89EEF0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E197EC9"/>
    <w:multiLevelType w:val="hybridMultilevel"/>
    <w:tmpl w:val="95600F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3EE34C75"/>
    <w:multiLevelType w:val="hybridMultilevel"/>
    <w:tmpl w:val="E364EF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40665CDD"/>
    <w:multiLevelType w:val="hybridMultilevel"/>
    <w:tmpl w:val="01F689E4"/>
    <w:lvl w:ilvl="0" w:tplc="04090001">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5596F6CC">
      <w:start w:val="1"/>
      <w:numFmt w:val="bullet"/>
      <w:lvlText w:val="•"/>
      <w:lvlJc w:val="left"/>
      <w:pPr>
        <w:ind w:left="144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A81CD1E0">
      <w:start w:val="1"/>
      <w:numFmt w:val="bullet"/>
      <w:lvlText w:val="▪"/>
      <w:lvlJc w:val="left"/>
      <w:pPr>
        <w:ind w:left="2160" w:hanging="360"/>
      </w:pPr>
      <w:rPr>
        <w:rFonts w:ascii="Arial Unicode MS" w:eastAsia="Arial Unicode MS" w:hAnsi="Arial Unicode MS"/>
        <w:b w:val="0"/>
        <w:bCs w:val="0"/>
        <w:i w:val="0"/>
        <w:iCs w:val="0"/>
        <w:caps w:val="0"/>
        <w:smallCaps w:val="0"/>
        <w:strike w:val="0"/>
        <w:dstrike w:val="0"/>
        <w:outline w:val="0"/>
        <w:emboss w:val="0"/>
        <w:imprint w:val="0"/>
        <w:spacing w:val="0"/>
        <w:w w:val="100"/>
        <w:kern w:val="0"/>
        <w:position w:val="0"/>
        <w:vertAlign w:val="baseline"/>
      </w:rPr>
    </w:lvl>
    <w:lvl w:ilvl="3" w:tplc="2AE049E8">
      <w:start w:val="1"/>
      <w:numFmt w:val="bullet"/>
      <w:lvlText w:val="•"/>
      <w:lvlJc w:val="left"/>
      <w:pPr>
        <w:ind w:left="288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D230FBB2">
      <w:start w:val="1"/>
      <w:numFmt w:val="bullet"/>
      <w:lvlText w:val="o"/>
      <w:lvlJc w:val="left"/>
      <w:pPr>
        <w:ind w:left="3600" w:hanging="360"/>
      </w:pPr>
      <w:rPr>
        <w:rFonts w:ascii="Arial Unicode MS" w:eastAsia="Arial Unicode MS" w:hAnsi="Arial Unicode MS"/>
        <w:b w:val="0"/>
        <w:bCs w:val="0"/>
        <w:i w:val="0"/>
        <w:iCs w:val="0"/>
        <w:caps w:val="0"/>
        <w:smallCaps w:val="0"/>
        <w:strike w:val="0"/>
        <w:dstrike w:val="0"/>
        <w:outline w:val="0"/>
        <w:emboss w:val="0"/>
        <w:imprint w:val="0"/>
        <w:spacing w:val="0"/>
        <w:w w:val="100"/>
        <w:kern w:val="0"/>
        <w:position w:val="0"/>
        <w:vertAlign w:val="baseline"/>
      </w:rPr>
    </w:lvl>
    <w:lvl w:ilvl="5" w:tplc="714CD226">
      <w:start w:val="1"/>
      <w:numFmt w:val="bullet"/>
      <w:lvlText w:val="▪"/>
      <w:lvlJc w:val="left"/>
      <w:pPr>
        <w:ind w:left="4320" w:hanging="360"/>
      </w:pPr>
      <w:rPr>
        <w:rFonts w:ascii="Arial Unicode MS" w:eastAsia="Arial Unicode MS" w:hAnsi="Arial Unicode MS"/>
        <w:b w:val="0"/>
        <w:bCs w:val="0"/>
        <w:i w:val="0"/>
        <w:iCs w:val="0"/>
        <w:caps w:val="0"/>
        <w:smallCaps w:val="0"/>
        <w:strike w:val="0"/>
        <w:dstrike w:val="0"/>
        <w:outline w:val="0"/>
        <w:emboss w:val="0"/>
        <w:imprint w:val="0"/>
        <w:spacing w:val="0"/>
        <w:w w:val="100"/>
        <w:kern w:val="0"/>
        <w:position w:val="0"/>
        <w:vertAlign w:val="baseline"/>
      </w:rPr>
    </w:lvl>
    <w:lvl w:ilvl="6" w:tplc="81AE88D6">
      <w:start w:val="1"/>
      <w:numFmt w:val="bullet"/>
      <w:lvlText w:val="•"/>
      <w:lvlJc w:val="left"/>
      <w:pPr>
        <w:ind w:left="504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F39AF5AA">
      <w:start w:val="1"/>
      <w:numFmt w:val="bullet"/>
      <w:lvlText w:val="o"/>
      <w:lvlJc w:val="left"/>
      <w:pPr>
        <w:ind w:left="5760" w:hanging="360"/>
      </w:pPr>
      <w:rPr>
        <w:rFonts w:ascii="Arial Unicode MS" w:eastAsia="Arial Unicode MS" w:hAnsi="Arial Unicode MS"/>
        <w:b w:val="0"/>
        <w:bCs w:val="0"/>
        <w:i w:val="0"/>
        <w:iCs w:val="0"/>
        <w:caps w:val="0"/>
        <w:smallCaps w:val="0"/>
        <w:strike w:val="0"/>
        <w:dstrike w:val="0"/>
        <w:outline w:val="0"/>
        <w:emboss w:val="0"/>
        <w:imprint w:val="0"/>
        <w:spacing w:val="0"/>
        <w:w w:val="100"/>
        <w:kern w:val="0"/>
        <w:position w:val="0"/>
        <w:vertAlign w:val="baseline"/>
      </w:rPr>
    </w:lvl>
    <w:lvl w:ilvl="8" w:tplc="0A62D4D6">
      <w:start w:val="1"/>
      <w:numFmt w:val="bullet"/>
      <w:lvlText w:val="▪"/>
      <w:lvlJc w:val="left"/>
      <w:pPr>
        <w:ind w:left="6480" w:hanging="360"/>
      </w:pPr>
      <w:rPr>
        <w:rFonts w:ascii="Arial Unicode MS" w:eastAsia="Arial Unicode MS"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1">
    <w:nsid w:val="40A37678"/>
    <w:multiLevelType w:val="hybridMultilevel"/>
    <w:tmpl w:val="3AD8C9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3C352A6"/>
    <w:multiLevelType w:val="hybridMultilevel"/>
    <w:tmpl w:val="E398CF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4292E90"/>
    <w:multiLevelType w:val="hybridMultilevel"/>
    <w:tmpl w:val="132A9D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5BB5D64"/>
    <w:multiLevelType w:val="hybridMultilevel"/>
    <w:tmpl w:val="08AC269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5">
    <w:nsid w:val="46514A14"/>
    <w:multiLevelType w:val="hybridMultilevel"/>
    <w:tmpl w:val="64F0E7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46DE6F25"/>
    <w:multiLevelType w:val="hybridMultilevel"/>
    <w:tmpl w:val="676E4E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83154A9"/>
    <w:multiLevelType w:val="hybridMultilevel"/>
    <w:tmpl w:val="31A0241E"/>
    <w:styleLink w:val="ImportedStyle2"/>
    <w:lvl w:ilvl="0" w:tplc="0374E280">
      <w:start w:val="1"/>
      <w:numFmt w:val="decimal"/>
      <w:lvlText w:val="%1."/>
      <w:lvlJc w:val="left"/>
      <w:pPr>
        <w:ind w:left="36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D020103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0930A">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vertAlign w:val="baseline"/>
      </w:rPr>
    </w:lvl>
    <w:lvl w:ilvl="3" w:tplc="7CC0677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4" w:tplc="215E732E">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vertAlign w:val="baseline"/>
      </w:rPr>
    </w:lvl>
    <w:lvl w:ilvl="5" w:tplc="46DA9FB2">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6" w:tplc="DFD2FB5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vertAlign w:val="baseline"/>
      </w:rPr>
    </w:lvl>
    <w:lvl w:ilvl="7" w:tplc="E7C4D522">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vertAlign w:val="baseline"/>
      </w:rPr>
    </w:lvl>
    <w:lvl w:ilvl="8" w:tplc="391C6308">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vertAlign w:val="baseline"/>
      </w:rPr>
    </w:lvl>
  </w:abstractNum>
  <w:abstractNum w:abstractNumId="28">
    <w:nsid w:val="4A5A27A2"/>
    <w:multiLevelType w:val="hybridMultilevel"/>
    <w:tmpl w:val="682E35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4DCD6805"/>
    <w:multiLevelType w:val="hybridMultilevel"/>
    <w:tmpl w:val="31A0241E"/>
    <w:numStyleLink w:val="ImportedStyle2"/>
  </w:abstractNum>
  <w:abstractNum w:abstractNumId="30">
    <w:nsid w:val="55C771B4"/>
    <w:multiLevelType w:val="hybridMultilevel"/>
    <w:tmpl w:val="BB1233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564C59E3"/>
    <w:multiLevelType w:val="hybridMultilevel"/>
    <w:tmpl w:val="2444A1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5D6C5487"/>
    <w:multiLevelType w:val="hybridMultilevel"/>
    <w:tmpl w:val="EDD6E6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2F352B5"/>
    <w:multiLevelType w:val="hybridMultilevel"/>
    <w:tmpl w:val="851AA1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3E33E3E"/>
    <w:multiLevelType w:val="hybridMultilevel"/>
    <w:tmpl w:val="034CE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6454308F"/>
    <w:multiLevelType w:val="hybridMultilevel"/>
    <w:tmpl w:val="53B6D2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4740D32"/>
    <w:multiLevelType w:val="hybridMultilevel"/>
    <w:tmpl w:val="D3200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65ED0C2F"/>
    <w:multiLevelType w:val="hybridMultilevel"/>
    <w:tmpl w:val="4C6644CC"/>
    <w:lvl w:ilvl="0" w:tplc="04090001">
      <w:start w:val="1"/>
      <w:numFmt w:val="bullet"/>
      <w:lvlText w:val=""/>
      <w:lvlJc w:val="left"/>
      <w:pPr>
        <w:ind w:left="825" w:hanging="360"/>
      </w:pPr>
      <w:rPr>
        <w:rFonts w:ascii="Symbol" w:hAnsi="Symbol" w:cs="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cs="Wingdings" w:hint="default"/>
      </w:rPr>
    </w:lvl>
    <w:lvl w:ilvl="3" w:tplc="04090001" w:tentative="1">
      <w:start w:val="1"/>
      <w:numFmt w:val="bullet"/>
      <w:lvlText w:val=""/>
      <w:lvlJc w:val="left"/>
      <w:pPr>
        <w:ind w:left="2985" w:hanging="360"/>
      </w:pPr>
      <w:rPr>
        <w:rFonts w:ascii="Symbol" w:hAnsi="Symbol" w:cs="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cs="Wingdings" w:hint="default"/>
      </w:rPr>
    </w:lvl>
    <w:lvl w:ilvl="6" w:tplc="04090001" w:tentative="1">
      <w:start w:val="1"/>
      <w:numFmt w:val="bullet"/>
      <w:lvlText w:val=""/>
      <w:lvlJc w:val="left"/>
      <w:pPr>
        <w:ind w:left="5145" w:hanging="360"/>
      </w:pPr>
      <w:rPr>
        <w:rFonts w:ascii="Symbol" w:hAnsi="Symbol" w:cs="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cs="Wingdings" w:hint="default"/>
      </w:rPr>
    </w:lvl>
  </w:abstractNum>
  <w:abstractNum w:abstractNumId="38">
    <w:nsid w:val="6B3A6088"/>
    <w:multiLevelType w:val="hybridMultilevel"/>
    <w:tmpl w:val="0F98B3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6C607B08"/>
    <w:multiLevelType w:val="hybridMultilevel"/>
    <w:tmpl w:val="84E26D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1854675"/>
    <w:multiLevelType w:val="hybridMultilevel"/>
    <w:tmpl w:val="948C5B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747D3D2F"/>
    <w:multiLevelType w:val="hybridMultilevel"/>
    <w:tmpl w:val="F3C2FF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7733273F"/>
    <w:multiLevelType w:val="hybridMultilevel"/>
    <w:tmpl w:val="83CE0D1A"/>
    <w:lvl w:ilvl="0" w:tplc="4C8ADB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10968"/>
    <w:multiLevelType w:val="hybridMultilevel"/>
    <w:tmpl w:val="094601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78646E9C"/>
    <w:multiLevelType w:val="hybridMultilevel"/>
    <w:tmpl w:val="17BE26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nsid w:val="7A170A64"/>
    <w:multiLevelType w:val="hybridMultilevel"/>
    <w:tmpl w:val="851037A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nsid w:val="7D974FE2"/>
    <w:multiLevelType w:val="hybridMultilevel"/>
    <w:tmpl w:val="D0F863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nsid w:val="7E7479BB"/>
    <w:multiLevelType w:val="hybridMultilevel"/>
    <w:tmpl w:val="81B2F6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nsid w:val="7E7A4FFC"/>
    <w:multiLevelType w:val="hybridMultilevel"/>
    <w:tmpl w:val="80F479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nsid w:val="7E8A5029"/>
    <w:multiLevelType w:val="hybridMultilevel"/>
    <w:tmpl w:val="0F9AC8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2"/>
  </w:num>
  <w:num w:numId="2">
    <w:abstractNumId w:val="38"/>
  </w:num>
  <w:num w:numId="3">
    <w:abstractNumId w:val="23"/>
  </w:num>
  <w:num w:numId="4">
    <w:abstractNumId w:val="48"/>
  </w:num>
  <w:num w:numId="5">
    <w:abstractNumId w:val="49"/>
  </w:num>
  <w:num w:numId="6">
    <w:abstractNumId w:val="13"/>
  </w:num>
  <w:num w:numId="7">
    <w:abstractNumId w:val="31"/>
  </w:num>
  <w:num w:numId="8">
    <w:abstractNumId w:val="25"/>
  </w:num>
  <w:num w:numId="9">
    <w:abstractNumId w:val="15"/>
  </w:num>
  <w:num w:numId="10">
    <w:abstractNumId w:val="17"/>
  </w:num>
  <w:num w:numId="11">
    <w:abstractNumId w:val="35"/>
  </w:num>
  <w:num w:numId="12">
    <w:abstractNumId w:val="26"/>
  </w:num>
  <w:num w:numId="13">
    <w:abstractNumId w:val="24"/>
  </w:num>
  <w:num w:numId="14">
    <w:abstractNumId w:val="36"/>
  </w:num>
  <w:num w:numId="15">
    <w:abstractNumId w:val="2"/>
  </w:num>
  <w:num w:numId="16">
    <w:abstractNumId w:val="7"/>
  </w:num>
  <w:num w:numId="17">
    <w:abstractNumId w:val="32"/>
  </w:num>
  <w:num w:numId="18">
    <w:abstractNumId w:val="37"/>
  </w:num>
  <w:num w:numId="19">
    <w:abstractNumId w:val="11"/>
  </w:num>
  <w:num w:numId="20">
    <w:abstractNumId w:val="34"/>
  </w:num>
  <w:num w:numId="21">
    <w:abstractNumId w:val="45"/>
  </w:num>
  <w:num w:numId="22">
    <w:abstractNumId w:val="0"/>
  </w:num>
  <w:num w:numId="23">
    <w:abstractNumId w:val="40"/>
  </w:num>
  <w:num w:numId="24">
    <w:abstractNumId w:val="6"/>
  </w:num>
  <w:num w:numId="25">
    <w:abstractNumId w:val="30"/>
  </w:num>
  <w:num w:numId="26">
    <w:abstractNumId w:val="46"/>
  </w:num>
  <w:num w:numId="27">
    <w:abstractNumId w:val="27"/>
  </w:num>
  <w:num w:numId="28">
    <w:abstractNumId w:val="29"/>
  </w:num>
  <w:num w:numId="29">
    <w:abstractNumId w:val="20"/>
  </w:num>
  <w:num w:numId="30">
    <w:abstractNumId w:val="14"/>
  </w:num>
  <w:num w:numId="31">
    <w:abstractNumId w:val="19"/>
  </w:num>
  <w:num w:numId="32">
    <w:abstractNumId w:val="9"/>
  </w:num>
  <w:num w:numId="33">
    <w:abstractNumId w:val="47"/>
  </w:num>
  <w:num w:numId="34">
    <w:abstractNumId w:val="42"/>
  </w:num>
  <w:num w:numId="35">
    <w:abstractNumId w:val="3"/>
  </w:num>
  <w:num w:numId="36">
    <w:abstractNumId w:val="1"/>
  </w:num>
  <w:num w:numId="37">
    <w:abstractNumId w:val="44"/>
  </w:num>
  <w:num w:numId="38">
    <w:abstractNumId w:val="39"/>
  </w:num>
  <w:num w:numId="39">
    <w:abstractNumId w:val="41"/>
  </w:num>
  <w:num w:numId="40">
    <w:abstractNumId w:val="33"/>
  </w:num>
  <w:num w:numId="41">
    <w:abstractNumId w:val="16"/>
  </w:num>
  <w:num w:numId="42">
    <w:abstractNumId w:val="18"/>
  </w:num>
  <w:num w:numId="43">
    <w:abstractNumId w:val="21"/>
  </w:num>
  <w:num w:numId="44">
    <w:abstractNumId w:val="8"/>
  </w:num>
  <w:num w:numId="45">
    <w:abstractNumId w:val="10"/>
  </w:num>
  <w:num w:numId="46">
    <w:abstractNumId w:val="4"/>
  </w:num>
  <w:num w:numId="47">
    <w:abstractNumId w:val="43"/>
  </w:num>
  <w:num w:numId="48">
    <w:abstractNumId w:val="5"/>
  </w:num>
  <w:num w:numId="49">
    <w:abstractNumId w:val="2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D5378"/>
    <w:rsid w:val="00005756"/>
    <w:rsid w:val="00063E09"/>
    <w:rsid w:val="000766E4"/>
    <w:rsid w:val="00092833"/>
    <w:rsid w:val="00093FAF"/>
    <w:rsid w:val="000B3B59"/>
    <w:rsid w:val="000C1B01"/>
    <w:rsid w:val="00121EC0"/>
    <w:rsid w:val="00122A28"/>
    <w:rsid w:val="00135E4C"/>
    <w:rsid w:val="00146B1D"/>
    <w:rsid w:val="00146EF8"/>
    <w:rsid w:val="00160568"/>
    <w:rsid w:val="001B6DA3"/>
    <w:rsid w:val="00217A23"/>
    <w:rsid w:val="00237265"/>
    <w:rsid w:val="00242DCE"/>
    <w:rsid w:val="002602AC"/>
    <w:rsid w:val="00262BA3"/>
    <w:rsid w:val="002751E4"/>
    <w:rsid w:val="002A4B0D"/>
    <w:rsid w:val="002B78CF"/>
    <w:rsid w:val="002E1780"/>
    <w:rsid w:val="002F171C"/>
    <w:rsid w:val="002F1F14"/>
    <w:rsid w:val="002F3C8C"/>
    <w:rsid w:val="003302B7"/>
    <w:rsid w:val="00347F70"/>
    <w:rsid w:val="003979CE"/>
    <w:rsid w:val="003E6825"/>
    <w:rsid w:val="0042238B"/>
    <w:rsid w:val="00443FB1"/>
    <w:rsid w:val="004627BE"/>
    <w:rsid w:val="004A79BC"/>
    <w:rsid w:val="004C13EF"/>
    <w:rsid w:val="004E0A5E"/>
    <w:rsid w:val="004F3084"/>
    <w:rsid w:val="004F551E"/>
    <w:rsid w:val="004F7133"/>
    <w:rsid w:val="00513F5F"/>
    <w:rsid w:val="00546536"/>
    <w:rsid w:val="0059009F"/>
    <w:rsid w:val="005E0337"/>
    <w:rsid w:val="006067CC"/>
    <w:rsid w:val="00626D63"/>
    <w:rsid w:val="00626E06"/>
    <w:rsid w:val="00631705"/>
    <w:rsid w:val="006540D4"/>
    <w:rsid w:val="0067141B"/>
    <w:rsid w:val="00674C02"/>
    <w:rsid w:val="006B730B"/>
    <w:rsid w:val="006C5291"/>
    <w:rsid w:val="006F6A18"/>
    <w:rsid w:val="00716E80"/>
    <w:rsid w:val="007269E6"/>
    <w:rsid w:val="00726F68"/>
    <w:rsid w:val="00735C53"/>
    <w:rsid w:val="00736646"/>
    <w:rsid w:val="00764C51"/>
    <w:rsid w:val="007727D5"/>
    <w:rsid w:val="00794C62"/>
    <w:rsid w:val="0079500B"/>
    <w:rsid w:val="007B39A2"/>
    <w:rsid w:val="007C25C5"/>
    <w:rsid w:val="007C5786"/>
    <w:rsid w:val="007D5445"/>
    <w:rsid w:val="008076BC"/>
    <w:rsid w:val="00816D97"/>
    <w:rsid w:val="00820E43"/>
    <w:rsid w:val="0082475D"/>
    <w:rsid w:val="00830507"/>
    <w:rsid w:val="00846DD7"/>
    <w:rsid w:val="00847867"/>
    <w:rsid w:val="00880588"/>
    <w:rsid w:val="00880644"/>
    <w:rsid w:val="008846A4"/>
    <w:rsid w:val="008C02DD"/>
    <w:rsid w:val="008F3F30"/>
    <w:rsid w:val="00911F18"/>
    <w:rsid w:val="009139F7"/>
    <w:rsid w:val="00941C9E"/>
    <w:rsid w:val="009523BC"/>
    <w:rsid w:val="00964B7E"/>
    <w:rsid w:val="009650CF"/>
    <w:rsid w:val="00975C37"/>
    <w:rsid w:val="009C7C52"/>
    <w:rsid w:val="00A2643C"/>
    <w:rsid w:val="00A52C3D"/>
    <w:rsid w:val="00A5396F"/>
    <w:rsid w:val="00A571C7"/>
    <w:rsid w:val="00A8683F"/>
    <w:rsid w:val="00AC2B6E"/>
    <w:rsid w:val="00AC4F31"/>
    <w:rsid w:val="00B472CC"/>
    <w:rsid w:val="00B638C0"/>
    <w:rsid w:val="00B642E6"/>
    <w:rsid w:val="00B768E6"/>
    <w:rsid w:val="00B94BF0"/>
    <w:rsid w:val="00B95813"/>
    <w:rsid w:val="00BA1651"/>
    <w:rsid w:val="00BB2ABD"/>
    <w:rsid w:val="00BD4478"/>
    <w:rsid w:val="00BE042E"/>
    <w:rsid w:val="00C43D46"/>
    <w:rsid w:val="00C455D2"/>
    <w:rsid w:val="00C542CF"/>
    <w:rsid w:val="00C568C9"/>
    <w:rsid w:val="00C5758B"/>
    <w:rsid w:val="00C6462C"/>
    <w:rsid w:val="00C74264"/>
    <w:rsid w:val="00C90F63"/>
    <w:rsid w:val="00C97CBE"/>
    <w:rsid w:val="00CB55EE"/>
    <w:rsid w:val="00CD5A74"/>
    <w:rsid w:val="00CE5392"/>
    <w:rsid w:val="00D00A6E"/>
    <w:rsid w:val="00D01BE8"/>
    <w:rsid w:val="00D04670"/>
    <w:rsid w:val="00D10CBF"/>
    <w:rsid w:val="00D268EA"/>
    <w:rsid w:val="00D31F46"/>
    <w:rsid w:val="00D4451F"/>
    <w:rsid w:val="00D510FD"/>
    <w:rsid w:val="00D74615"/>
    <w:rsid w:val="00DA5981"/>
    <w:rsid w:val="00DC1BD4"/>
    <w:rsid w:val="00DE4238"/>
    <w:rsid w:val="00DE7531"/>
    <w:rsid w:val="00E343B5"/>
    <w:rsid w:val="00E5696C"/>
    <w:rsid w:val="00E6074D"/>
    <w:rsid w:val="00E83E29"/>
    <w:rsid w:val="00E925CE"/>
    <w:rsid w:val="00ED523C"/>
    <w:rsid w:val="00ED5378"/>
    <w:rsid w:val="00EE097B"/>
    <w:rsid w:val="00EF2368"/>
    <w:rsid w:val="00F761B7"/>
    <w:rsid w:val="00F81BB7"/>
    <w:rsid w:val="00F90D50"/>
    <w:rsid w:val="00FC4C00"/>
    <w:rsid w:val="00FF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22A2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5378"/>
    <w:rPr>
      <w:color w:val="0000FF"/>
      <w:u w:val="single"/>
    </w:rPr>
  </w:style>
  <w:style w:type="paragraph" w:styleId="ListParagraph">
    <w:name w:val="List Paragraph"/>
    <w:basedOn w:val="Normal"/>
    <w:uiPriority w:val="99"/>
    <w:qFormat/>
    <w:rsid w:val="00ED5378"/>
    <w:pPr>
      <w:ind w:left="720"/>
      <w:contextualSpacing/>
    </w:pPr>
  </w:style>
  <w:style w:type="character" w:styleId="BookTitle">
    <w:name w:val="Book Title"/>
    <w:basedOn w:val="DefaultParagraphFont"/>
    <w:uiPriority w:val="99"/>
    <w:qFormat/>
    <w:rsid w:val="00146EF8"/>
    <w:rPr>
      <w:b/>
      <w:bCs/>
      <w:smallCaps/>
      <w:spacing w:val="5"/>
    </w:rPr>
  </w:style>
  <w:style w:type="paragraph" w:styleId="Header">
    <w:name w:val="header"/>
    <w:basedOn w:val="Normal"/>
    <w:link w:val="HeaderChar"/>
    <w:uiPriority w:val="99"/>
    <w:rsid w:val="00ED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3C"/>
  </w:style>
  <w:style w:type="paragraph" w:styleId="Footer">
    <w:name w:val="footer"/>
    <w:basedOn w:val="Normal"/>
    <w:link w:val="FooterChar"/>
    <w:uiPriority w:val="99"/>
    <w:rsid w:val="00E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3C"/>
  </w:style>
  <w:style w:type="character" w:styleId="FollowedHyperlink">
    <w:name w:val="FollowedHyperlink"/>
    <w:basedOn w:val="DefaultParagraphFont"/>
    <w:uiPriority w:val="99"/>
    <w:semiHidden/>
    <w:rsid w:val="00BA1651"/>
    <w:rPr>
      <w:color w:val="800080"/>
      <w:u w:val="single"/>
    </w:rPr>
  </w:style>
  <w:style w:type="paragraph" w:styleId="BalloonText">
    <w:name w:val="Balloon Text"/>
    <w:basedOn w:val="Normal"/>
    <w:link w:val="BalloonTextChar"/>
    <w:uiPriority w:val="99"/>
    <w:semiHidden/>
    <w:rsid w:val="00C9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63"/>
    <w:rPr>
      <w:rFonts w:ascii="Tahoma" w:hAnsi="Tahoma" w:cs="Tahoma"/>
      <w:sz w:val="16"/>
      <w:szCs w:val="16"/>
    </w:rPr>
  </w:style>
  <w:style w:type="character" w:customStyle="1" w:styleId="pshyperlink">
    <w:name w:val="pshyperlink"/>
    <w:basedOn w:val="DefaultParagraphFont"/>
    <w:uiPriority w:val="99"/>
    <w:rsid w:val="00160568"/>
  </w:style>
  <w:style w:type="paragraph" w:styleId="NoSpacing">
    <w:name w:val="No Spacing"/>
    <w:uiPriority w:val="99"/>
    <w:qFormat/>
    <w:rsid w:val="0079500B"/>
    <w:rPr>
      <w:rFonts w:cs="Calibri"/>
    </w:rPr>
  </w:style>
  <w:style w:type="character" w:customStyle="1" w:styleId="Hyperlink0">
    <w:name w:val="Hyperlink.0"/>
    <w:basedOn w:val="Hyperlink"/>
    <w:uiPriority w:val="99"/>
    <w:rsid w:val="00BB2ABD"/>
    <w:rPr>
      <w:color w:val="0000FF"/>
      <w:u w:val="single" w:color="0000FF"/>
    </w:rPr>
  </w:style>
  <w:style w:type="character" w:styleId="SubtleReference">
    <w:name w:val="Subtle Reference"/>
    <w:basedOn w:val="DefaultParagraphFont"/>
    <w:uiPriority w:val="99"/>
    <w:qFormat/>
    <w:rsid w:val="00626D63"/>
    <w:rPr>
      <w:smallCaps/>
      <w:color w:val="C0504D"/>
      <w:u w:val="single"/>
    </w:rPr>
  </w:style>
  <w:style w:type="paragraph" w:styleId="NormalWeb">
    <w:name w:val="Normal (Web)"/>
    <w:basedOn w:val="Normal"/>
    <w:uiPriority w:val="99"/>
    <w:rsid w:val="00FF38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E83E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6074D"/>
    <w:rPr>
      <w:sz w:val="16"/>
      <w:szCs w:val="16"/>
    </w:rPr>
  </w:style>
  <w:style w:type="paragraph" w:styleId="CommentText">
    <w:name w:val="annotation text"/>
    <w:basedOn w:val="Normal"/>
    <w:link w:val="CommentTextChar"/>
    <w:uiPriority w:val="99"/>
    <w:semiHidden/>
    <w:rsid w:val="00E6074D"/>
    <w:pPr>
      <w:spacing w:line="240" w:lineRule="auto"/>
    </w:pPr>
    <w:rPr>
      <w:sz w:val="20"/>
      <w:szCs w:val="20"/>
    </w:rPr>
  </w:style>
  <w:style w:type="character" w:customStyle="1" w:styleId="CommentTextChar">
    <w:name w:val="Comment Text Char"/>
    <w:basedOn w:val="DefaultParagraphFont"/>
    <w:link w:val="CommentText"/>
    <w:uiPriority w:val="99"/>
    <w:semiHidden/>
    <w:rsid w:val="00E6074D"/>
    <w:rPr>
      <w:sz w:val="20"/>
      <w:szCs w:val="20"/>
    </w:rPr>
  </w:style>
  <w:style w:type="paragraph" w:styleId="CommentSubject">
    <w:name w:val="annotation subject"/>
    <w:basedOn w:val="CommentText"/>
    <w:next w:val="CommentText"/>
    <w:link w:val="CommentSubjectChar"/>
    <w:uiPriority w:val="99"/>
    <w:semiHidden/>
    <w:rsid w:val="00E6074D"/>
    <w:rPr>
      <w:b/>
      <w:bCs/>
    </w:rPr>
  </w:style>
  <w:style w:type="character" w:customStyle="1" w:styleId="CommentSubjectChar">
    <w:name w:val="Comment Subject Char"/>
    <w:basedOn w:val="CommentTextChar"/>
    <w:link w:val="CommentSubject"/>
    <w:uiPriority w:val="99"/>
    <w:semiHidden/>
    <w:rsid w:val="00E6074D"/>
    <w:rPr>
      <w:b/>
      <w:bCs/>
      <w:sz w:val="20"/>
      <w:szCs w:val="20"/>
    </w:rPr>
  </w:style>
  <w:style w:type="character" w:customStyle="1" w:styleId="apple-converted-space">
    <w:name w:val="apple-converted-space"/>
    <w:basedOn w:val="DefaultParagraphFont"/>
    <w:uiPriority w:val="99"/>
    <w:rsid w:val="00A571C7"/>
  </w:style>
  <w:style w:type="numbering" w:customStyle="1" w:styleId="ImportedStyle2">
    <w:name w:val="Imported Style 2"/>
    <w:rsid w:val="00DC3DCD"/>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2615">
      <w:marLeft w:val="0"/>
      <w:marRight w:val="0"/>
      <w:marTop w:val="0"/>
      <w:marBottom w:val="0"/>
      <w:divBdr>
        <w:top w:val="none" w:sz="0" w:space="0" w:color="auto"/>
        <w:left w:val="none" w:sz="0" w:space="0" w:color="auto"/>
        <w:bottom w:val="none" w:sz="0" w:space="0" w:color="auto"/>
        <w:right w:val="none" w:sz="0" w:space="0" w:color="auto"/>
      </w:divBdr>
    </w:div>
    <w:div w:id="366612616">
      <w:marLeft w:val="0"/>
      <w:marRight w:val="0"/>
      <w:marTop w:val="0"/>
      <w:marBottom w:val="0"/>
      <w:divBdr>
        <w:top w:val="none" w:sz="0" w:space="0" w:color="auto"/>
        <w:left w:val="none" w:sz="0" w:space="0" w:color="auto"/>
        <w:bottom w:val="none" w:sz="0" w:space="0" w:color="auto"/>
        <w:right w:val="none" w:sz="0" w:space="0" w:color="auto"/>
      </w:divBdr>
    </w:div>
    <w:div w:id="366612617">
      <w:marLeft w:val="0"/>
      <w:marRight w:val="0"/>
      <w:marTop w:val="0"/>
      <w:marBottom w:val="0"/>
      <w:divBdr>
        <w:top w:val="none" w:sz="0" w:space="0" w:color="auto"/>
        <w:left w:val="none" w:sz="0" w:space="0" w:color="auto"/>
        <w:bottom w:val="none" w:sz="0" w:space="0" w:color="auto"/>
        <w:right w:val="none" w:sz="0" w:space="0" w:color="auto"/>
      </w:divBdr>
    </w:div>
    <w:div w:id="366612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rm.wayne.edu/risk/rof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ruvada.com/pati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sentress.com/raltegravir/isentress/consumer/common_side_effects_for_isent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s.lww.com/joem/Fulltext/2016/12000/Risks_Associated_With_Lentiviral_Vector_Exposures.1.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ournals.lww.com/joem/Fulltext/2016/12000/Risks_Associated_With_Lentiviral_Vector_Exposures.1.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LENTIVIRAL VECTOR EXPOSURE TREATMENT</vt:lpstr>
    </vt:vector>
  </TitlesOfParts>
  <Company>WSU</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LENTIVIRAL VECTOR EXPOSURE TREATMENT</dc:title>
  <dc:creator>Pearson, Richard John</dc:creator>
  <cp:lastModifiedBy>Richard Pearson</cp:lastModifiedBy>
  <cp:revision>2</cp:revision>
  <cp:lastPrinted>2013-07-08T17:10:00Z</cp:lastPrinted>
  <dcterms:created xsi:type="dcterms:W3CDTF">2017-06-21T15:15:00Z</dcterms:created>
  <dcterms:modified xsi:type="dcterms:W3CDTF">2017-06-21T15:15:00Z</dcterms:modified>
</cp:coreProperties>
</file>