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265D" w14:textId="77777777" w:rsidR="001D6615" w:rsidRPr="00D338BC" w:rsidRDefault="002E25BE" w:rsidP="00D338BC">
      <w:pPr>
        <w:pStyle w:val="Heading1"/>
      </w:pPr>
      <w:r w:rsidRPr="00D338BC">
        <w:t xml:space="preserve">General Use </w:t>
      </w:r>
      <w:r w:rsidR="001D6615" w:rsidRPr="00D338BC">
        <w:t>Standard Operating Procedure (</w:t>
      </w:r>
      <w:r w:rsidRPr="00D338BC">
        <w:t>SOP</w:t>
      </w:r>
      <w:r w:rsidR="001D6615" w:rsidRPr="00D338BC">
        <w:t>)</w:t>
      </w:r>
    </w:p>
    <w:p w14:paraId="330BD0E4" w14:textId="57CC8F31" w:rsidR="002E25BE" w:rsidRPr="00D338BC" w:rsidRDefault="003761CB" w:rsidP="00D338BC">
      <w:pPr>
        <w:pStyle w:val="Heading1"/>
      </w:pPr>
      <w:r w:rsidRPr="00D338BC">
        <w:t>Biological Toxins</w:t>
      </w:r>
    </w:p>
    <w:p w14:paraId="14324176" w14:textId="0A96958B" w:rsidR="001D6615" w:rsidRPr="00D338BC" w:rsidRDefault="001D6615" w:rsidP="00D338BC">
      <w:pPr>
        <w:spacing w:after="0" w:line="240" w:lineRule="auto"/>
        <w:jc w:val="center"/>
        <w:rPr>
          <w:rFonts w:cstheme="minorHAnsi"/>
          <w:sz w:val="24"/>
          <w:szCs w:val="24"/>
        </w:rPr>
      </w:pPr>
      <w:r w:rsidRPr="00D338BC">
        <w:rPr>
          <w:rFonts w:cstheme="minorHAnsi"/>
          <w:b/>
          <w:bCs/>
          <w:noProof/>
          <w:kern w:val="16"/>
          <w:sz w:val="24"/>
          <w:szCs w:val="24"/>
        </w:rPr>
        <w:drawing>
          <wp:inline distT="0" distB="0" distL="0" distR="0" wp14:anchorId="5EFFC40A" wp14:editId="4CBC302F">
            <wp:extent cx="457200" cy="457200"/>
            <wp:effectExtent l="0" t="0" r="0" b="0"/>
            <wp:docPr id="12" name="Picture 12" descr="Health Hazard&#10;&#10;Globally Harmonized System pictogram Indicating a chemical is an health hazard, such as a carcin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D338BC">
        <w:rPr>
          <w:rFonts w:cstheme="minorHAnsi"/>
          <w:sz w:val="24"/>
          <w:szCs w:val="24"/>
        </w:rPr>
        <w:t xml:space="preserve"> </w:t>
      </w:r>
      <w:r w:rsidRPr="00D338BC">
        <w:rPr>
          <w:rFonts w:cstheme="minorHAnsi"/>
          <w:b/>
          <w:bCs/>
          <w:noProof/>
          <w:kern w:val="16"/>
          <w:sz w:val="24"/>
          <w:szCs w:val="24"/>
        </w:rPr>
        <w:drawing>
          <wp:inline distT="0" distB="0" distL="0" distR="0" wp14:anchorId="4DF3B675" wp14:editId="65145F6F">
            <wp:extent cx="457200" cy="457200"/>
            <wp:effectExtent l="0" t="0" r="0" b="0"/>
            <wp:docPr id="13" name="Picture 13" descr="Acute Toxicity&#10;&#10;Globally Harmonized System pictogram Indicating a chemical is an acute toxicit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9C9CEB9" w14:textId="59EA7FB6" w:rsidR="002E25BE" w:rsidRPr="00D338BC" w:rsidRDefault="002E25BE" w:rsidP="00D338BC">
      <w:pPr>
        <w:spacing w:after="0" w:line="240" w:lineRule="auto"/>
        <w:jc w:val="center"/>
        <w:rPr>
          <w:rFonts w:cstheme="minorHAnsi"/>
          <w:i/>
          <w:sz w:val="24"/>
          <w:szCs w:val="24"/>
        </w:rPr>
      </w:pPr>
      <w:r w:rsidRPr="00D338BC">
        <w:rPr>
          <w:rFonts w:cstheme="minorHAnsi"/>
          <w:i/>
          <w:sz w:val="24"/>
          <w:szCs w:val="24"/>
        </w:rPr>
        <w:t xml:space="preserve">Globally Harmonized System Hazard Class: </w:t>
      </w:r>
      <w:r w:rsidR="00C30FAA" w:rsidRPr="00D338BC">
        <w:rPr>
          <w:rFonts w:cstheme="minorHAnsi"/>
          <w:i/>
          <w:sz w:val="24"/>
          <w:szCs w:val="24"/>
        </w:rPr>
        <w:t>Health Hazard or Acute Toxicity</w:t>
      </w:r>
    </w:p>
    <w:p w14:paraId="0E0C545F" w14:textId="55BEDB3A" w:rsidR="002E25BE" w:rsidRPr="00D338BC" w:rsidRDefault="002E25BE" w:rsidP="00D338BC">
      <w:pPr>
        <w:spacing w:after="0" w:line="240" w:lineRule="auto"/>
        <w:jc w:val="center"/>
        <w:rPr>
          <w:rFonts w:cstheme="minorHAnsi"/>
          <w:i/>
          <w:sz w:val="24"/>
          <w:szCs w:val="24"/>
        </w:rPr>
      </w:pPr>
      <w:r w:rsidRPr="00D338BC">
        <w:rPr>
          <w:rFonts w:cstheme="minorHAnsi"/>
          <w:i/>
          <w:sz w:val="24"/>
          <w:szCs w:val="24"/>
        </w:rPr>
        <w:t xml:space="preserve">Examples: </w:t>
      </w:r>
      <w:r w:rsidR="00DC6D6E" w:rsidRPr="00D338BC">
        <w:rPr>
          <w:rFonts w:cstheme="minorHAnsi"/>
          <w:i/>
          <w:sz w:val="24"/>
          <w:szCs w:val="24"/>
        </w:rPr>
        <w:t>Pertussis toxin, Lipopolysaccharide, Diphtheria toxin</w:t>
      </w:r>
      <w:r w:rsidR="00D77A37" w:rsidRPr="00D338BC">
        <w:rPr>
          <w:rFonts w:cstheme="minorHAnsi"/>
          <w:i/>
          <w:sz w:val="24"/>
          <w:szCs w:val="24"/>
        </w:rPr>
        <w:t>, Cholera toxin</w:t>
      </w:r>
    </w:p>
    <w:p w14:paraId="385453AF" w14:textId="7D738527" w:rsidR="001D6615" w:rsidRPr="00D338BC" w:rsidRDefault="001D6615" w:rsidP="00D338BC">
      <w:pPr>
        <w:spacing w:after="0" w:line="240" w:lineRule="auto"/>
        <w:rPr>
          <w:rFonts w:cstheme="minorHAnsi"/>
          <w:sz w:val="24"/>
          <w:szCs w:val="24"/>
        </w:rPr>
      </w:pPr>
      <w:r w:rsidRPr="00D338BC">
        <w:rPr>
          <w:rFonts w:cstheme="minorHAnsi"/>
          <w:b/>
          <w:sz w:val="24"/>
          <w:szCs w:val="24"/>
        </w:rPr>
        <w:t>Note</w:t>
      </w:r>
      <w:r w:rsidRPr="00D338BC">
        <w:rPr>
          <w:rFonts w:cstheme="minorHAnsi"/>
          <w:sz w:val="24"/>
          <w:szCs w:val="24"/>
        </w:rPr>
        <w:t>: This SOP is intended to provide general guidance on how to safely work with biological toxins and only addresses safety issues specific to biological toxins.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161B1FD1" w14:textId="06E573A9" w:rsidR="001D6615" w:rsidRDefault="001D6615" w:rsidP="00D338BC">
      <w:pPr>
        <w:spacing w:after="0" w:line="240" w:lineRule="auto"/>
        <w:rPr>
          <w:rFonts w:cstheme="minorHAnsi"/>
          <w:b/>
          <w:sz w:val="24"/>
          <w:szCs w:val="24"/>
        </w:rPr>
      </w:pPr>
      <w:r w:rsidRPr="00D338BC">
        <w:rPr>
          <w:rFonts w:cstheme="minorHAnsi"/>
          <w:b/>
          <w:sz w:val="24"/>
          <w:szCs w:val="24"/>
        </w:rPr>
        <w:t>If the chemical of interest is a particularly hazardous substance or a high risk chemical a lab specific SOP is required.</w:t>
      </w:r>
    </w:p>
    <w:p w14:paraId="2B92C69B" w14:textId="77777777" w:rsidR="00D338BC" w:rsidRPr="00D338BC" w:rsidRDefault="00D338BC" w:rsidP="00D338BC">
      <w:pPr>
        <w:spacing w:after="0" w:line="240" w:lineRule="auto"/>
        <w:rPr>
          <w:rFonts w:cstheme="minorHAnsi"/>
          <w:b/>
          <w:sz w:val="24"/>
          <w:szCs w:val="24"/>
        </w:rPr>
      </w:pPr>
    </w:p>
    <w:p w14:paraId="265DDE9E" w14:textId="3990422E" w:rsidR="00DC2CCA" w:rsidRPr="00B277CB" w:rsidRDefault="00DC2CCA" w:rsidP="00D338BC">
      <w:pPr>
        <w:pStyle w:val="Heading2"/>
        <w:rPr>
          <w:u w:val="none"/>
        </w:rPr>
      </w:pPr>
      <w:r w:rsidRPr="00B277CB">
        <w:rPr>
          <w:u w:val="none"/>
        </w:rPr>
        <w:t>Hazard Description</w:t>
      </w:r>
    </w:p>
    <w:p w14:paraId="7A320D2A" w14:textId="38D9E23B" w:rsidR="00DC2CCA" w:rsidRDefault="00DC2CCA" w:rsidP="00D338BC">
      <w:pPr>
        <w:spacing w:after="0" w:line="240" w:lineRule="auto"/>
        <w:rPr>
          <w:rFonts w:cstheme="minorHAnsi"/>
          <w:bCs/>
          <w:sz w:val="24"/>
          <w:szCs w:val="24"/>
        </w:rPr>
      </w:pPr>
      <w:r w:rsidRPr="00D338BC">
        <w:rPr>
          <w:rFonts w:cstheme="minorHAnsi"/>
          <w:bCs/>
          <w:sz w:val="24"/>
          <w:szCs w:val="24"/>
        </w:rPr>
        <w:t>Biological toxins are hazardous substances produced by microorganisms, animals, insects, and plants that can be harmful when inhaled, ingested, injected, or absorbed. Depending on the toxin and amount and route of exposure, health effects can range from minor (skin or eye irritation, headache, nausea) to severe (respiratory distress, muscle weakness, seizures, death). Toxins with a mammalian LD50 ≤100 μg/kg body weight, called “acute toxins”, pose the greatest risk. They are highly toxic in minute quantities, have no established safe exposure limits, and there is limited toxicological data applicable to human exposures. Laboratory exposure risks are primarily from accidental injection, absorption through skin or mucous membranes, inhalation, and ingestion. Most acute toxins are stable proteins (or carbohydrates) requiring rigorous inactivation of contaminated surfaces, objects, and waste. Note that the health effects and lethal dose in humans for many biological toxins are not well known, and therefore should be treated with a high level of caution.</w:t>
      </w:r>
    </w:p>
    <w:p w14:paraId="19C8B492" w14:textId="77777777" w:rsidR="00D338BC" w:rsidRPr="00D338BC" w:rsidRDefault="00D338BC" w:rsidP="00D338BC">
      <w:pPr>
        <w:spacing w:after="0" w:line="240" w:lineRule="auto"/>
        <w:rPr>
          <w:rFonts w:cstheme="minorHAnsi"/>
          <w:bCs/>
          <w:sz w:val="24"/>
          <w:szCs w:val="24"/>
        </w:rPr>
      </w:pPr>
    </w:p>
    <w:p w14:paraId="6D30062E" w14:textId="4CBCED39" w:rsidR="00DC2CCA" w:rsidRPr="00B277CB" w:rsidRDefault="00DC2CCA" w:rsidP="00D338BC">
      <w:pPr>
        <w:pStyle w:val="Heading2"/>
        <w:rPr>
          <w:u w:val="none"/>
        </w:rPr>
      </w:pPr>
      <w:r w:rsidRPr="00B277CB">
        <w:rPr>
          <w:u w:val="none"/>
        </w:rPr>
        <w:t xml:space="preserve">Control of Hazards </w:t>
      </w:r>
      <w:r w:rsidR="00454F92" w:rsidRPr="00B277CB">
        <w:rPr>
          <w:u w:val="none"/>
        </w:rPr>
        <w:t>–</w:t>
      </w:r>
      <w:r w:rsidRPr="00B277CB">
        <w:rPr>
          <w:u w:val="none"/>
        </w:rPr>
        <w:t xml:space="preserve"> General</w:t>
      </w:r>
    </w:p>
    <w:p w14:paraId="346E5D72" w14:textId="77777777" w:rsidR="002541BA" w:rsidRPr="00D338BC" w:rsidRDefault="002541BA" w:rsidP="002541BA">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Conduct a hazard assessment to identify proper use and handling techniques, fire safety, storage, and waste disposal issues specific to the chemical being used.</w:t>
      </w:r>
    </w:p>
    <w:p w14:paraId="666A11B6" w14:textId="5603D65D"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Note CDC/USDA Select Toxins require Institutional Biosafety Committee (IBC) approval for use.</w:t>
      </w:r>
    </w:p>
    <w:p w14:paraId="0E366ED4" w14:textId="74BFA1EA"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If possible, do not work with toxins in solid or powder form. If it is necessary to purchase it in powder or solid form, purchase pre-weighed toxin in the minimum quantity needed to perform work.</w:t>
      </w:r>
    </w:p>
    <w:p w14:paraId="59466A38" w14:textId="62B0F05C"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When opening packages of biological toxins shipped to the lab, use a functional and certified fume hood or biosafety cabinet.</w:t>
      </w:r>
    </w:p>
    <w:p w14:paraId="4608C009" w14:textId="54FDBDB7"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Conduct literature search and review for the specific biological toxin. Review resource information such as from the Federal Select Agent Program. Assess the lethal dose (LD50) and health effects of each toxin.</w:t>
      </w:r>
    </w:p>
    <w:p w14:paraId="58BBF881" w14:textId="0722DFFB"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Develop a written laboratory-specific SOP for the toxin being used.</w:t>
      </w:r>
    </w:p>
    <w:p w14:paraId="3E394188" w14:textId="46ADF3D0"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Provide and document hazardous chemical training and specific toxin SOP training to personnel working with biological toxins and any other personnel authorized or required to be in the laboratory during toxin work. This should include but is not limited to reviewing the SDS, training on the physical hazards of the chemicals, symptoms of exposure, appropriate work practices, and use of PPE.</w:t>
      </w:r>
    </w:p>
    <w:p w14:paraId="3593E1FD" w14:textId="38F5B28F"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Use good microbiological laboratory techniques.</w:t>
      </w:r>
    </w:p>
    <w:p w14:paraId="055169C0" w14:textId="77732FF3"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Do not work alone when working with biological toxins.</w:t>
      </w:r>
    </w:p>
    <w:p w14:paraId="1F529F21" w14:textId="3533F1F8"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Verify your experimental set-up and procedure prior to use.</w:t>
      </w:r>
    </w:p>
    <w:p w14:paraId="3FAF6731" w14:textId="52418383"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lastRenderedPageBreak/>
        <w:t>Before starting work, prepare a fresh solution of the appropriate chemical used for inactivation of the biological toxin, if applicable. Refer to SDS and other reference material, such as CDC Biosafety in Microbiological and Biomedical Laboratories, for specific information.</w:t>
      </w:r>
    </w:p>
    <w:p w14:paraId="4716911A" w14:textId="0C7C98BB"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Line work area with absorbent, leak-proof bench pads. Change daily.</w:t>
      </w:r>
    </w:p>
    <w:p w14:paraId="47C9652A" w14:textId="769B0B6B"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For toxins supplied in glass ampules, wrap a paper towel around the top of the ampule when snapping the ampule open to protect against cuts.</w:t>
      </w:r>
    </w:p>
    <w:p w14:paraId="143AEA7B" w14:textId="348ED028"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For toxins supplied in septum sealed vials, use a hands-free device to stabilize the vial to avoid an accidental needle stick when resuspending.</w:t>
      </w:r>
    </w:p>
    <w:p w14:paraId="33422B94" w14:textId="1F0E4932"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Use in the smallest practical quantities for work being done.</w:t>
      </w:r>
    </w:p>
    <w:p w14:paraId="0C8E9DC4" w14:textId="5A586FA6"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Change gloves at least every 2 hours, or immediately after contamination, and wash hands at time of glove change.</w:t>
      </w:r>
    </w:p>
    <w:p w14:paraId="5647293D" w14:textId="1C8004B6"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Re-suspend the toxin carefully and slowly, rinsing down the walls of the tube in the process.</w:t>
      </w:r>
    </w:p>
    <w:p w14:paraId="0305FC7B" w14:textId="4B82BEF0"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Toxin should be removed from the BSC or fume hood only after the exterior of the closed primary container has been decontaminated (with a solution appropriate for specific toxin) and placed in a clean secondary container.</w:t>
      </w:r>
    </w:p>
    <w:p w14:paraId="17B39CB4" w14:textId="4ACE8F75"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The interior of the BSC or hood should be decontaminated periodically, for example, at the end of a series of related experiments or at the end of each day.</w:t>
      </w:r>
    </w:p>
    <w:p w14:paraId="608F6AB3" w14:textId="6722C39A"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Until thoroughly decontaminated, the fume hood or BSC should be posted to indicate that toxins remain in use, and access should remain restricted.</w:t>
      </w:r>
    </w:p>
    <w:p w14:paraId="78FD468A" w14:textId="6EDE96B9" w:rsidR="00DC2CCA" w:rsidRPr="00D338BC" w:rsidRDefault="00DC2CCA" w:rsidP="00D338BC">
      <w:pPr>
        <w:pStyle w:val="ListParagraph"/>
        <w:numPr>
          <w:ilvl w:val="0"/>
          <w:numId w:val="26"/>
        </w:numPr>
        <w:rPr>
          <w:rFonts w:asciiTheme="minorHAnsi" w:hAnsiTheme="minorHAnsi" w:cstheme="minorHAnsi"/>
          <w:bCs/>
          <w:szCs w:val="24"/>
        </w:rPr>
      </w:pPr>
      <w:r w:rsidRPr="00D338BC">
        <w:rPr>
          <w:rFonts w:asciiTheme="minorHAnsi" w:hAnsiTheme="minorHAnsi" w:cstheme="minorHAnsi"/>
          <w:bCs/>
          <w:szCs w:val="24"/>
        </w:rPr>
        <w:t>Remove and dispose or decontaminate protective clothing and wash hands with soap and water before leaving the work area.</w:t>
      </w:r>
    </w:p>
    <w:p w14:paraId="54717FF7" w14:textId="77777777" w:rsidR="00D338BC" w:rsidRPr="00D338BC" w:rsidRDefault="00D338BC" w:rsidP="00D338BC">
      <w:pPr>
        <w:spacing w:after="0" w:line="240" w:lineRule="auto"/>
        <w:rPr>
          <w:rFonts w:cstheme="minorHAnsi"/>
          <w:bCs/>
          <w:sz w:val="24"/>
          <w:szCs w:val="24"/>
        </w:rPr>
      </w:pPr>
    </w:p>
    <w:p w14:paraId="27882375" w14:textId="0B665349" w:rsidR="00DC2CCA" w:rsidRPr="00B277CB" w:rsidRDefault="00DC2CCA" w:rsidP="00D338BC">
      <w:pPr>
        <w:pStyle w:val="Heading2"/>
        <w:rPr>
          <w:u w:val="none"/>
        </w:rPr>
      </w:pPr>
      <w:r w:rsidRPr="00B277CB">
        <w:rPr>
          <w:u w:val="none"/>
        </w:rPr>
        <w:t>E</w:t>
      </w:r>
      <w:r w:rsidR="00D338BC" w:rsidRPr="00B277CB">
        <w:rPr>
          <w:u w:val="none"/>
        </w:rPr>
        <w:t>ngineering/Ventilation Controls</w:t>
      </w:r>
    </w:p>
    <w:p w14:paraId="2CC4F4C8" w14:textId="2C72D916"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Designate a certified BSC, fume hood, glove box or other approved containment for work with a biological toxin. Do not use a laminar flow hood or cabinet for toxin work. Consider the properties of the specific toxin and procedures when selecting a containment device.</w:t>
      </w:r>
    </w:p>
    <w:p w14:paraId="1AEF55C1" w14:textId="6BC17C5E"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When toxins are in use, post a warning sign in the area (e.g. WARNING! PERTUSSIS TOXIN WORK AREA – TOXIC).</w:t>
      </w:r>
    </w:p>
    <w:p w14:paraId="6AB99052" w14:textId="70F94506"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In-line HEPA filters are required if vacuum lines are used with toxin.</w:t>
      </w:r>
    </w:p>
    <w:p w14:paraId="6BE2975E" w14:textId="32CF6090"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If centrifuging materials containing toxin, centrifuge safety cups or sealed rotors must be used and the outside surfaces routinely decontaminated. Open the sealed cups or rotors inside BSC or fume hood.</w:t>
      </w:r>
    </w:p>
    <w:p w14:paraId="6ED5DB78" w14:textId="2D4851A2"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Limit the use of glassware (no glass Pasteur pipettes).</w:t>
      </w:r>
    </w:p>
    <w:p w14:paraId="1D518135" w14:textId="57359C4C" w:rsidR="00DC2CCA" w:rsidRPr="00D338BC" w:rsidRDefault="00DC2CCA" w:rsidP="00D338BC">
      <w:pPr>
        <w:pStyle w:val="ListParagraph"/>
        <w:numPr>
          <w:ilvl w:val="0"/>
          <w:numId w:val="27"/>
        </w:numPr>
        <w:rPr>
          <w:rFonts w:asciiTheme="minorHAnsi" w:hAnsiTheme="minorHAnsi" w:cstheme="minorHAnsi"/>
          <w:bCs/>
          <w:szCs w:val="24"/>
        </w:rPr>
      </w:pPr>
      <w:r w:rsidRPr="00D338BC">
        <w:rPr>
          <w:rFonts w:asciiTheme="minorHAnsi" w:hAnsiTheme="minorHAnsi" w:cstheme="minorHAnsi"/>
          <w:bCs/>
          <w:szCs w:val="24"/>
        </w:rPr>
        <w:t>Sharps with engineering controls (i.e. self-sheathing) must be used. Have a sharps container next to the work area for quick and easy disposal.</w:t>
      </w:r>
    </w:p>
    <w:p w14:paraId="3A6C840B" w14:textId="77777777" w:rsidR="00D338BC" w:rsidRPr="00D338BC" w:rsidRDefault="00D338BC" w:rsidP="00D338BC">
      <w:pPr>
        <w:spacing w:after="0" w:line="240" w:lineRule="auto"/>
        <w:rPr>
          <w:rFonts w:cstheme="minorHAnsi"/>
          <w:bCs/>
          <w:sz w:val="24"/>
          <w:szCs w:val="24"/>
        </w:rPr>
      </w:pPr>
    </w:p>
    <w:p w14:paraId="5AD69669" w14:textId="603D6E72" w:rsidR="00DC2CCA" w:rsidRPr="00B277CB" w:rsidRDefault="00D338BC" w:rsidP="00D338BC">
      <w:pPr>
        <w:pStyle w:val="Heading2"/>
        <w:rPr>
          <w:u w:val="none"/>
        </w:rPr>
      </w:pPr>
      <w:r w:rsidRPr="00B277CB">
        <w:rPr>
          <w:u w:val="none"/>
        </w:rPr>
        <w:t>Personal Protective Equipment</w:t>
      </w:r>
    </w:p>
    <w:p w14:paraId="556E0DA5" w14:textId="77777777" w:rsidR="00D338BC" w:rsidRPr="00037EFC" w:rsidRDefault="00D338BC" w:rsidP="00D338BC">
      <w:pPr>
        <w:spacing w:after="0" w:line="240" w:lineRule="auto"/>
        <w:rPr>
          <w:rFonts w:cstheme="minorHAnsi"/>
          <w:sz w:val="24"/>
          <w:szCs w:val="24"/>
        </w:rPr>
      </w:pPr>
      <w:r w:rsidRPr="00037EFC">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7A0E49A1" w14:textId="77777777" w:rsidR="00D338BC" w:rsidRPr="00037EFC" w:rsidRDefault="00D338BC" w:rsidP="00D338BC">
      <w:pPr>
        <w:pStyle w:val="ListParagraph"/>
        <w:numPr>
          <w:ilvl w:val="0"/>
          <w:numId w:val="20"/>
        </w:numPr>
        <w:rPr>
          <w:rFonts w:asciiTheme="minorHAnsi" w:eastAsia="Times New Roman" w:hAnsiTheme="minorHAnsi" w:cstheme="minorHAnsi"/>
          <w:szCs w:val="24"/>
        </w:rPr>
      </w:pPr>
      <w:r w:rsidRPr="00037EFC">
        <w:rPr>
          <w:rFonts w:asciiTheme="minorHAnsi" w:eastAsia="Times New Roman" w:hAnsiTheme="minorHAnsi" w:cstheme="minorHAnsi"/>
          <w:szCs w:val="24"/>
        </w:rPr>
        <w:t>Safety glasses (If splash potential exists, use goggles + face shield instead)</w:t>
      </w:r>
    </w:p>
    <w:p w14:paraId="112BABC3" w14:textId="77777777" w:rsidR="00D338BC" w:rsidRPr="00037EFC" w:rsidRDefault="00D338BC" w:rsidP="00D338BC">
      <w:pPr>
        <w:pStyle w:val="ListParagraph"/>
        <w:numPr>
          <w:ilvl w:val="0"/>
          <w:numId w:val="20"/>
        </w:numPr>
        <w:rPr>
          <w:rFonts w:asciiTheme="minorHAnsi" w:eastAsia="Times New Roman" w:hAnsiTheme="minorHAnsi" w:cstheme="minorHAnsi"/>
          <w:szCs w:val="24"/>
        </w:rPr>
      </w:pPr>
      <w:r w:rsidRPr="00037EFC">
        <w:rPr>
          <w:rFonts w:asciiTheme="minorHAnsi" w:eastAsia="Times New Roman" w:hAnsiTheme="minorHAnsi" w:cstheme="minorHAnsi"/>
          <w:szCs w:val="24"/>
        </w:rPr>
        <w:t>Lab coat.</w:t>
      </w:r>
    </w:p>
    <w:p w14:paraId="53691E7F" w14:textId="77777777" w:rsidR="00D338BC" w:rsidRPr="00037EFC" w:rsidRDefault="00D338BC" w:rsidP="00D338BC">
      <w:pPr>
        <w:pStyle w:val="ListParagraph"/>
        <w:numPr>
          <w:ilvl w:val="1"/>
          <w:numId w:val="20"/>
        </w:numPr>
        <w:ind w:left="690"/>
        <w:rPr>
          <w:rFonts w:asciiTheme="minorHAnsi" w:eastAsia="Times New Roman" w:hAnsiTheme="minorHAnsi" w:cstheme="minorHAnsi"/>
          <w:szCs w:val="24"/>
        </w:rPr>
      </w:pPr>
      <w:r w:rsidRPr="00037EFC">
        <w:rPr>
          <w:rFonts w:asciiTheme="minorHAnsi" w:eastAsia="Times New Roman" w:hAnsiTheme="minorHAnsi" w:cstheme="minorHAnsi"/>
          <w:szCs w:val="24"/>
        </w:rPr>
        <w:t>Hazard assessment of procedures may indicate the need for a flame-resistant lab coat, such as Nomex.</w:t>
      </w:r>
    </w:p>
    <w:p w14:paraId="02C3D2FF" w14:textId="77777777" w:rsidR="00D338BC" w:rsidRPr="00037EFC" w:rsidRDefault="00D338BC" w:rsidP="00D338BC">
      <w:pPr>
        <w:pStyle w:val="ListParagraph"/>
        <w:numPr>
          <w:ilvl w:val="0"/>
          <w:numId w:val="20"/>
        </w:numPr>
        <w:rPr>
          <w:rFonts w:asciiTheme="minorHAnsi" w:eastAsia="Times New Roman" w:hAnsiTheme="minorHAnsi" w:cstheme="minorHAnsi"/>
          <w:szCs w:val="24"/>
        </w:rPr>
      </w:pPr>
      <w:r w:rsidRPr="00037EFC">
        <w:rPr>
          <w:rFonts w:asciiTheme="minorHAnsi" w:eastAsia="Times New Roman" w:hAnsiTheme="minorHAnsi" w:cstheme="minorHAnsi"/>
          <w:szCs w:val="24"/>
        </w:rPr>
        <w:t>Appropriate chemical‐resistant gloves.</w:t>
      </w:r>
    </w:p>
    <w:p w14:paraId="2D82207C" w14:textId="77777777" w:rsidR="00D338BC" w:rsidRPr="00037EFC" w:rsidRDefault="00D338BC" w:rsidP="00D338BC">
      <w:pPr>
        <w:pStyle w:val="ListParagraph"/>
        <w:numPr>
          <w:ilvl w:val="1"/>
          <w:numId w:val="20"/>
        </w:numPr>
        <w:rPr>
          <w:rFonts w:asciiTheme="minorHAnsi" w:eastAsia="Times New Roman" w:hAnsiTheme="minorHAnsi" w:cstheme="minorHAnsi"/>
          <w:szCs w:val="24"/>
        </w:rPr>
      </w:pPr>
      <w:r w:rsidRPr="00037EFC">
        <w:rPr>
          <w:rFonts w:asciiTheme="minorHAnsi" w:eastAsia="Times New Roman" w:hAnsiTheme="minorHAnsi" w:cstheme="minorHAnsi"/>
          <w:szCs w:val="24"/>
        </w:rPr>
        <w:t xml:space="preserve">Refer to Section 8 “Exposure controls/personal protection” of SDS or a glove selection guide (e.g. </w:t>
      </w:r>
      <w:hyperlink r:id="rId12" w:anchor="hp" w:history="1">
        <w:r w:rsidRPr="00037EFC">
          <w:rPr>
            <w:rStyle w:val="Hyperlink"/>
            <w:rFonts w:asciiTheme="minorHAnsi" w:eastAsia="Times New Roman" w:hAnsiTheme="minorHAnsi" w:cstheme="minorHAnsi"/>
            <w:szCs w:val="24"/>
          </w:rPr>
          <w:t>Ansell Chemical Protection Guide</w:t>
        </w:r>
      </w:hyperlink>
      <w:r w:rsidRPr="00037EFC">
        <w:rPr>
          <w:rFonts w:asciiTheme="minorHAnsi" w:eastAsia="Times New Roman" w:hAnsiTheme="minorHAnsi" w:cstheme="minorHAnsi"/>
          <w:szCs w:val="24"/>
        </w:rPr>
        <w:t>) to identify appropriate glove type.</w:t>
      </w:r>
    </w:p>
    <w:p w14:paraId="4398CCE4" w14:textId="65D8116C" w:rsidR="00DC2CCA" w:rsidRPr="00D338BC" w:rsidRDefault="00DC2CCA" w:rsidP="00D338BC">
      <w:pPr>
        <w:spacing w:after="0" w:line="240" w:lineRule="auto"/>
        <w:rPr>
          <w:rFonts w:cstheme="minorHAnsi"/>
          <w:b/>
          <w:sz w:val="24"/>
          <w:szCs w:val="24"/>
        </w:rPr>
      </w:pPr>
    </w:p>
    <w:p w14:paraId="5C1CE8A0" w14:textId="5E3E6A7A" w:rsidR="00DC2CCA" w:rsidRPr="00B277CB" w:rsidRDefault="00DC2CCA" w:rsidP="00D338BC">
      <w:pPr>
        <w:pStyle w:val="Heading2"/>
        <w:rPr>
          <w:u w:val="none"/>
        </w:rPr>
      </w:pPr>
      <w:r w:rsidRPr="00B277CB">
        <w:rPr>
          <w:u w:val="none"/>
        </w:rPr>
        <w:t>Special Handling Proc</w:t>
      </w:r>
      <w:r w:rsidR="00D338BC" w:rsidRPr="00B277CB">
        <w:rPr>
          <w:u w:val="none"/>
        </w:rPr>
        <w:t>edures and Storage Requirements</w:t>
      </w:r>
    </w:p>
    <w:p w14:paraId="57F92636" w14:textId="02A0AE32" w:rsidR="00DC2CCA" w:rsidRPr="00D338BC" w:rsidRDefault="00DC2CCA" w:rsidP="00D338BC">
      <w:pPr>
        <w:pStyle w:val="ListParagraph"/>
        <w:numPr>
          <w:ilvl w:val="0"/>
          <w:numId w:val="28"/>
        </w:numPr>
        <w:rPr>
          <w:rFonts w:asciiTheme="minorHAnsi" w:hAnsiTheme="minorHAnsi" w:cstheme="minorHAnsi"/>
          <w:bCs/>
          <w:szCs w:val="24"/>
        </w:rPr>
      </w:pPr>
      <w:r w:rsidRPr="00D338BC">
        <w:rPr>
          <w:rFonts w:asciiTheme="minorHAnsi" w:hAnsiTheme="minorHAnsi" w:cstheme="minorHAnsi"/>
          <w:bCs/>
          <w:szCs w:val="24"/>
        </w:rPr>
        <w:t xml:space="preserve">Designate toxin storage area in a locked container (freezer, refrigerator, cabinet or other container) in a secure location. </w:t>
      </w:r>
    </w:p>
    <w:p w14:paraId="0C3BC83A" w14:textId="7476A3B4" w:rsidR="00DC2CCA" w:rsidRPr="00D338BC" w:rsidRDefault="00DC2CCA" w:rsidP="00D338BC">
      <w:pPr>
        <w:pStyle w:val="ListParagraph"/>
        <w:numPr>
          <w:ilvl w:val="0"/>
          <w:numId w:val="28"/>
        </w:numPr>
        <w:rPr>
          <w:rFonts w:asciiTheme="minorHAnsi" w:hAnsiTheme="minorHAnsi" w:cstheme="minorHAnsi"/>
          <w:bCs/>
          <w:szCs w:val="24"/>
        </w:rPr>
      </w:pPr>
      <w:r w:rsidRPr="00D338BC">
        <w:rPr>
          <w:rFonts w:asciiTheme="minorHAnsi" w:hAnsiTheme="minorHAnsi" w:cstheme="minorHAnsi"/>
          <w:bCs/>
          <w:szCs w:val="24"/>
        </w:rPr>
        <w:t>Store and transport toxin in a minimum of 2 layers of sturdy, leak-proof non-breakable containers (e.g. plastic container with sealing lid as a secondary container).</w:t>
      </w:r>
    </w:p>
    <w:p w14:paraId="655A23D5" w14:textId="77777777" w:rsidR="00D338BC" w:rsidRPr="00D338BC" w:rsidRDefault="00D338BC" w:rsidP="00D338BC">
      <w:pPr>
        <w:spacing w:after="0" w:line="240" w:lineRule="auto"/>
        <w:rPr>
          <w:rFonts w:cstheme="minorHAnsi"/>
          <w:bCs/>
          <w:sz w:val="24"/>
          <w:szCs w:val="24"/>
        </w:rPr>
      </w:pPr>
    </w:p>
    <w:p w14:paraId="6C7D0E0B" w14:textId="40356D99" w:rsidR="00DC2CCA" w:rsidRPr="00B277CB" w:rsidRDefault="00D338BC" w:rsidP="00D338BC">
      <w:pPr>
        <w:pStyle w:val="Heading2"/>
        <w:rPr>
          <w:u w:val="none"/>
        </w:rPr>
      </w:pPr>
      <w:r w:rsidRPr="00B277CB">
        <w:rPr>
          <w:u w:val="none"/>
        </w:rPr>
        <w:t>Decontamination Procedures</w:t>
      </w:r>
    </w:p>
    <w:p w14:paraId="1490A5F3" w14:textId="5FF48737"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Determine the appropriate chemical and/or physical inactivation method(s) for the specific toxin. Exposure to strong bleach or sodium hydroxide for a minimum of 30 minutes is generally sufficient. Note: autoclaving is not an effective method for low molecular weight toxins (e.g. marine toxins or mycotoxins). Refer to SDS and other reference material, such as CDC Biosafety in Microbiological and Biomedical Laboratories, for specific information.</w:t>
      </w:r>
    </w:p>
    <w:p w14:paraId="0C3B08C3" w14:textId="2BD7393A"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Ensure supplies for inactivation of toxin are available. Note: disinfecting solutions and products may not inactivate biological toxins.</w:t>
      </w:r>
    </w:p>
    <w:p w14:paraId="4FCBDE21" w14:textId="7CF9FA87"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Spills must be cleaned immediately by properly protected and trained staff.</w:t>
      </w:r>
    </w:p>
    <w:p w14:paraId="5B158828" w14:textId="18D8FA9A"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For liquid spills, cover spill with absorbent materials and inactivate by applying the appropriate chemical inactivating agent starting at the perimeter and working toward the center, allowing prescribed contact time before clean up. Clean the spill area with inactivating agent, allowing prescribed contact time, then soap and water.</w:t>
      </w:r>
    </w:p>
    <w:p w14:paraId="64153D25" w14:textId="015DA159"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For powder spills inside fume hood or biosafety cabinet, cover with absorbent materials that have been wetted with a compatible buffer or inactivating agent, in order to prevent air dispersal. Apply the appropriate chemical inactivating agent starting at the perimeter and working toward the center, allowing prescribed contact time before clean up. Clean the spill area with inactivating agent, allowing prescribed contact time, then soap and water.</w:t>
      </w:r>
    </w:p>
    <w:p w14:paraId="1DD7B3BF" w14:textId="21D06AF4" w:rsidR="00DC2CCA" w:rsidRPr="00D338BC" w:rsidRDefault="00DC2CCA" w:rsidP="00D338BC">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For powder spills outside of a containment device, personnel should be instructed to leave the laboratory and entrance should be restricted. Contact OEHS for clean-up.</w:t>
      </w:r>
    </w:p>
    <w:p w14:paraId="74A4A5D1" w14:textId="77777777" w:rsidR="00D338BC" w:rsidRPr="00D338BC" w:rsidRDefault="00D338BC" w:rsidP="00D338BC">
      <w:pPr>
        <w:spacing w:after="0" w:line="240" w:lineRule="auto"/>
        <w:rPr>
          <w:rFonts w:cstheme="minorHAnsi"/>
          <w:bCs/>
          <w:sz w:val="24"/>
          <w:szCs w:val="24"/>
        </w:rPr>
      </w:pPr>
    </w:p>
    <w:p w14:paraId="7717712A" w14:textId="3939E44E" w:rsidR="00DC2CCA" w:rsidRPr="00B277CB" w:rsidRDefault="00D338BC" w:rsidP="00D338BC">
      <w:pPr>
        <w:pStyle w:val="Heading2"/>
        <w:rPr>
          <w:u w:val="none"/>
        </w:rPr>
      </w:pPr>
      <w:r w:rsidRPr="00B277CB">
        <w:rPr>
          <w:u w:val="none"/>
        </w:rPr>
        <w:t>Waste Disposal</w:t>
      </w:r>
    </w:p>
    <w:p w14:paraId="595D3CBC" w14:textId="6B457C1B" w:rsidR="00DC2CCA" w:rsidRPr="00D338BC" w:rsidRDefault="00DC2CCA" w:rsidP="00D338BC">
      <w:pPr>
        <w:spacing w:after="0" w:line="240" w:lineRule="auto"/>
        <w:rPr>
          <w:rFonts w:cstheme="minorHAnsi"/>
          <w:bCs/>
          <w:sz w:val="24"/>
          <w:szCs w:val="24"/>
        </w:rPr>
      </w:pPr>
      <w:r w:rsidRPr="00D338BC">
        <w:rPr>
          <w:rFonts w:cstheme="minorHAnsi"/>
          <w:bCs/>
          <w:sz w:val="24"/>
          <w:szCs w:val="24"/>
        </w:rPr>
        <w:t xml:space="preserve">Unused biological toxins, toxin waste and materials contaminated with biological toxins must be collected and disposed of as hazardous waste. </w:t>
      </w:r>
      <w:r w:rsidR="005062E6">
        <w:rPr>
          <w:rFonts w:cstheme="minorHAnsi"/>
          <w:bCs/>
          <w:sz w:val="24"/>
          <w:szCs w:val="24"/>
        </w:rPr>
        <w:t xml:space="preserve">Consult OEHS to determine if it should be collected as chemical or biohazardous waste. </w:t>
      </w:r>
      <w:r w:rsidRPr="00D338BC">
        <w:rPr>
          <w:rFonts w:cstheme="minorHAnsi"/>
          <w:bCs/>
          <w:sz w:val="24"/>
          <w:szCs w:val="24"/>
        </w:rPr>
        <w:t>Waste may need to be chemically inactivated prior to disposal.</w:t>
      </w:r>
    </w:p>
    <w:p w14:paraId="68EFE876" w14:textId="77777777" w:rsidR="00DC2CCA" w:rsidRPr="00D338BC" w:rsidRDefault="00DC2CCA" w:rsidP="00D338BC">
      <w:pPr>
        <w:spacing w:after="0" w:line="240" w:lineRule="auto"/>
        <w:rPr>
          <w:rFonts w:cstheme="minorHAnsi"/>
          <w:bCs/>
          <w:sz w:val="24"/>
          <w:szCs w:val="24"/>
        </w:rPr>
      </w:pPr>
    </w:p>
    <w:p w14:paraId="56B5F3D9" w14:textId="283915B4" w:rsidR="00DC2CCA" w:rsidRDefault="00DC2CCA" w:rsidP="00D338BC">
      <w:pPr>
        <w:spacing w:after="0" w:line="240" w:lineRule="auto"/>
        <w:rPr>
          <w:rFonts w:cstheme="minorHAnsi"/>
          <w:bCs/>
          <w:sz w:val="24"/>
          <w:szCs w:val="24"/>
        </w:rPr>
      </w:pPr>
      <w:r w:rsidRPr="00D338BC">
        <w:rPr>
          <w:rFonts w:cstheme="minorHAnsi"/>
          <w:bCs/>
          <w:sz w:val="24"/>
          <w:szCs w:val="24"/>
        </w:rPr>
        <w:t xml:space="preserve">Do not dispose of waste by dumping down a drain or discarding in regular trash containers, unless authorized </w:t>
      </w:r>
      <w:r w:rsidR="002541BA">
        <w:rPr>
          <w:rFonts w:cstheme="minorHAnsi"/>
          <w:bCs/>
          <w:sz w:val="24"/>
          <w:szCs w:val="24"/>
        </w:rPr>
        <w:t xml:space="preserve">in writing </w:t>
      </w:r>
      <w:r w:rsidRPr="00D338BC">
        <w:rPr>
          <w:rFonts w:cstheme="minorHAnsi"/>
          <w:bCs/>
          <w:sz w:val="24"/>
          <w:szCs w:val="24"/>
        </w:rPr>
        <w:t>by OEHS.  Submit requests to OEHS for waste containers, labels, and waste collection.  Also, refer to the OEHS Hazardous Waste Management web page and WSU Chemical Hygiene Plan for more information.</w:t>
      </w:r>
    </w:p>
    <w:p w14:paraId="4CD59614" w14:textId="77777777" w:rsidR="00D338BC" w:rsidRPr="00D338BC" w:rsidRDefault="00D338BC" w:rsidP="00D338BC">
      <w:pPr>
        <w:spacing w:after="0" w:line="240" w:lineRule="auto"/>
        <w:rPr>
          <w:rFonts w:cstheme="minorHAnsi"/>
          <w:bCs/>
          <w:sz w:val="24"/>
          <w:szCs w:val="24"/>
        </w:rPr>
      </w:pPr>
    </w:p>
    <w:p w14:paraId="475C2D7D" w14:textId="77777777" w:rsidR="00B277CB" w:rsidRPr="00EE706A" w:rsidRDefault="00B277CB" w:rsidP="00B277CB">
      <w:pPr>
        <w:pStyle w:val="Heading1"/>
        <w:jc w:val="left"/>
        <w:rPr>
          <w:b w:val="0"/>
          <w:sz w:val="28"/>
          <w:szCs w:val="28"/>
        </w:rPr>
      </w:pPr>
      <w:r w:rsidRPr="00EE706A">
        <w:rPr>
          <w:sz w:val="28"/>
          <w:szCs w:val="28"/>
        </w:rPr>
        <w:t>Spill procedures</w:t>
      </w:r>
    </w:p>
    <w:p w14:paraId="3649F2BF" w14:textId="77777777" w:rsidR="00B277CB" w:rsidRPr="00D676E9" w:rsidRDefault="00B277CB" w:rsidP="00B277CB">
      <w:pPr>
        <w:pStyle w:val="ListParagraph"/>
        <w:numPr>
          <w:ilvl w:val="0"/>
          <w:numId w:val="31"/>
        </w:numPr>
        <w:ind w:left="360"/>
        <w:rPr>
          <w:rFonts w:asciiTheme="minorHAnsi" w:hAnsiTheme="minorHAnsi" w:cstheme="minorHAnsi"/>
          <w:b/>
          <w:bCs/>
        </w:rPr>
      </w:pPr>
      <w:r w:rsidRPr="00D676E9">
        <w:rPr>
          <w:rFonts w:asciiTheme="minorHAnsi" w:hAnsiTheme="minorHAnsi" w:cstheme="minorHAnsi"/>
          <w:b/>
        </w:rPr>
        <w:t>Spills</w:t>
      </w:r>
    </w:p>
    <w:p w14:paraId="4DF25729" w14:textId="77777777" w:rsidR="00B277CB" w:rsidRPr="0049757B" w:rsidRDefault="00B277CB" w:rsidP="002C13BC">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6506AE90" w14:textId="77777777" w:rsidR="00B277CB" w:rsidRPr="006B1F2E" w:rsidRDefault="00B277CB"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4C63AF04" w14:textId="77777777" w:rsidR="00B277CB" w:rsidRPr="006B1F2E" w:rsidRDefault="00B277CB"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273E0B17" w14:textId="77777777" w:rsidR="00B277CB" w:rsidRPr="006B1F2E" w:rsidRDefault="00B277CB"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123C34A5" w14:textId="77777777" w:rsidR="00B277CB" w:rsidRPr="006B1F2E" w:rsidRDefault="00B277CB"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lastRenderedPageBreak/>
        <w:t>Remain in the vicinity until emergency personnel arrive and provide them with information on the chemicals involved.</w:t>
      </w:r>
    </w:p>
    <w:p w14:paraId="2ABC55C4" w14:textId="704A5942" w:rsidR="00B277CB" w:rsidRPr="006B1F2E" w:rsidRDefault="00B277CB" w:rsidP="002C13BC">
      <w:pPr>
        <w:spacing w:after="0" w:line="240" w:lineRule="auto"/>
        <w:rPr>
          <w:rFonts w:cstheme="minorHAnsi"/>
          <w:sz w:val="24"/>
          <w:szCs w:val="24"/>
        </w:rPr>
      </w:pPr>
      <w:r w:rsidRPr="006B1F2E">
        <w:rPr>
          <w:rFonts w:cstheme="minorHAnsi"/>
          <w:sz w:val="24"/>
          <w:szCs w:val="24"/>
        </w:rPr>
        <w:t xml:space="preserve">For additional information regarding spill response procedures, refer to the </w:t>
      </w:r>
      <w:hyperlink r:id="rId13" w:history="1">
        <w:r w:rsidRPr="006B1F2E">
          <w:rPr>
            <w:rStyle w:val="Hyperlink"/>
            <w:rFonts w:cstheme="minorHAnsi"/>
            <w:sz w:val="24"/>
            <w:szCs w:val="24"/>
          </w:rPr>
          <w:t>WSU Chemical Hygiene Plan</w:t>
        </w:r>
      </w:hyperlink>
      <w:r w:rsidRPr="006B1F2E">
        <w:rPr>
          <w:rFonts w:cstheme="minorHAnsi"/>
          <w:sz w:val="24"/>
          <w:szCs w:val="24"/>
        </w:rPr>
        <w:t xml:space="preserve"> and </w:t>
      </w:r>
      <w:hyperlink r:id="rId14" w:history="1">
        <w:r w:rsidRPr="006B1F2E">
          <w:rPr>
            <w:rStyle w:val="Hyperlink"/>
            <w:rFonts w:cstheme="minorHAnsi"/>
            <w:sz w:val="24"/>
            <w:szCs w:val="24"/>
          </w:rPr>
          <w:t>American Chemical Society (ACS) guide for chemical spill response</w:t>
        </w:r>
      </w:hyperlink>
      <w:r w:rsidRPr="006B1F2E">
        <w:rPr>
          <w:rFonts w:cstheme="minorHAnsi"/>
          <w:sz w:val="24"/>
          <w:szCs w:val="24"/>
        </w:rPr>
        <w:t>.</w:t>
      </w:r>
    </w:p>
    <w:p w14:paraId="1633000B" w14:textId="77777777" w:rsidR="00B277CB" w:rsidRPr="006B1F2E" w:rsidRDefault="00B277CB" w:rsidP="002C13BC">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3D95768B" w14:textId="77777777" w:rsidR="00B277CB" w:rsidRPr="00D47523" w:rsidRDefault="00B277CB" w:rsidP="002C13BC">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29F19674" w14:textId="77777777" w:rsidR="00B277CB" w:rsidRPr="00D47523" w:rsidRDefault="00B277CB"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4DA874A7" w14:textId="77777777" w:rsidR="00B277CB" w:rsidRPr="00D47523" w:rsidRDefault="00B277CB" w:rsidP="002C13BC">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52900DB9" w14:textId="77777777" w:rsidR="00B277CB" w:rsidRPr="00D47523" w:rsidRDefault="00B277CB" w:rsidP="002C13BC">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7B6B50FD" w14:textId="77777777"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5F0EF17E" w14:textId="77777777"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5B536B14" w14:textId="09621947"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w:t>
      </w:r>
      <w:r w:rsidR="005062E6">
        <w:rPr>
          <w:rFonts w:asciiTheme="minorHAnsi" w:hAnsiTheme="minorHAnsi" w:cstheme="minorHAnsi"/>
          <w:szCs w:val="24"/>
        </w:rPr>
        <w:t>Cover solid material with wetted paper towels to</w:t>
      </w:r>
      <w:r w:rsidRPr="00D47523">
        <w:rPr>
          <w:rFonts w:asciiTheme="minorHAnsi" w:hAnsiTheme="minorHAnsi" w:cstheme="minorHAnsi"/>
          <w:szCs w:val="24"/>
        </w:rPr>
        <w:t xml:space="preserve"> </w:t>
      </w:r>
      <w:r w:rsidR="005062E6">
        <w:rPr>
          <w:rFonts w:asciiTheme="minorHAnsi" w:hAnsiTheme="minorHAnsi" w:cstheme="minorHAnsi"/>
          <w:szCs w:val="24"/>
        </w:rPr>
        <w:t>m</w:t>
      </w:r>
      <w:r w:rsidRPr="00D47523">
        <w:rPr>
          <w:rFonts w:asciiTheme="minorHAnsi" w:hAnsiTheme="minorHAnsi" w:cstheme="minorHAnsi"/>
          <w:szCs w:val="24"/>
        </w:rPr>
        <w:t xml:space="preserve">inimize dust generation. </w:t>
      </w:r>
    </w:p>
    <w:p w14:paraId="2A3FC538" w14:textId="533A948F"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w:t>
      </w:r>
      <w:r w:rsidR="005062E6">
        <w:rPr>
          <w:rFonts w:asciiTheme="minorHAnsi" w:hAnsiTheme="minorHAnsi" w:cstheme="minorHAnsi"/>
          <w:szCs w:val="24"/>
        </w:rPr>
        <w:t>paper towels</w:t>
      </w:r>
      <w:r w:rsidRPr="00D47523">
        <w:rPr>
          <w:rFonts w:asciiTheme="minorHAnsi" w:hAnsiTheme="minorHAnsi" w:cstheme="minorHAnsi"/>
          <w:szCs w:val="24"/>
        </w:rPr>
        <w:t xml:space="preserve">, working from the spill's outer edges toward the center. </w:t>
      </w:r>
    </w:p>
    <w:p w14:paraId="6B7DBED9" w14:textId="7355B53C"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w:t>
      </w:r>
      <w:r w:rsidR="005062E6">
        <w:rPr>
          <w:rFonts w:asciiTheme="minorHAnsi" w:hAnsiTheme="minorHAnsi" w:cstheme="minorHAnsi"/>
          <w:szCs w:val="24"/>
        </w:rPr>
        <w:t>plastic bag.</w:t>
      </w:r>
    </w:p>
    <w:p w14:paraId="520F6BF0" w14:textId="7DAB60F0"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After spilled material is removed, decontaminate surfaces with </w:t>
      </w:r>
      <w:r w:rsidR="005062E6">
        <w:rPr>
          <w:rFonts w:asciiTheme="minorHAnsi" w:hAnsiTheme="minorHAnsi" w:cstheme="minorHAnsi"/>
          <w:szCs w:val="24"/>
        </w:rPr>
        <w:t>an appropriate disinfectant</w:t>
      </w:r>
      <w:r w:rsidRPr="00D47523">
        <w:rPr>
          <w:rFonts w:asciiTheme="minorHAnsi" w:hAnsiTheme="minorHAnsi" w:cstheme="minorHAnsi"/>
          <w:szCs w:val="24"/>
        </w:rPr>
        <w:t>.</w:t>
      </w:r>
      <w:r w:rsidR="005062E6">
        <w:rPr>
          <w:rFonts w:asciiTheme="minorHAnsi" w:hAnsiTheme="minorHAnsi" w:cstheme="minorHAnsi"/>
          <w:szCs w:val="24"/>
        </w:rPr>
        <w:t xml:space="preserve"> Refer to Safety Data Sheet, product information, or other references to determine appropriate disinfectant.</w:t>
      </w:r>
    </w:p>
    <w:p w14:paraId="34ACBF9D" w14:textId="7A1657DC" w:rsidR="00B277CB" w:rsidRPr="00D47523" w:rsidRDefault="00B277CB"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in the </w:t>
      </w:r>
      <w:r w:rsidR="005062E6">
        <w:rPr>
          <w:rFonts w:asciiTheme="minorHAnsi" w:hAnsiTheme="minorHAnsi" w:cstheme="minorHAnsi"/>
          <w:szCs w:val="24"/>
        </w:rPr>
        <w:t>plastic bag</w:t>
      </w:r>
      <w:r w:rsidRPr="00D47523">
        <w:rPr>
          <w:rFonts w:asciiTheme="minorHAnsi" w:hAnsiTheme="minorHAnsi" w:cstheme="minorHAnsi"/>
          <w:szCs w:val="24"/>
        </w:rPr>
        <w:t>.</w:t>
      </w:r>
      <w:r w:rsidR="005062E6">
        <w:rPr>
          <w:rFonts w:asciiTheme="minorHAnsi" w:hAnsiTheme="minorHAnsi" w:cstheme="minorHAnsi"/>
          <w:szCs w:val="24"/>
        </w:rPr>
        <w:t xml:space="preserve"> </w:t>
      </w:r>
      <w:r w:rsidR="005062E6">
        <w:rPr>
          <w:rFonts w:asciiTheme="minorHAnsi" w:hAnsiTheme="minorHAnsi" w:cstheme="minorHAnsi"/>
          <w:szCs w:val="24"/>
        </w:rPr>
        <w:t>Once all clean-up material has been collected, tie the bag closed.</w:t>
      </w:r>
      <w:r w:rsidR="005062E6">
        <w:rPr>
          <w:rFonts w:asciiTheme="minorHAnsi" w:hAnsiTheme="minorHAnsi" w:cstheme="minorHAnsi"/>
          <w:szCs w:val="24"/>
        </w:rPr>
        <w:t xml:space="preserve"> </w:t>
      </w:r>
      <w:r w:rsidR="005062E6">
        <w:rPr>
          <w:rFonts w:asciiTheme="minorHAnsi" w:hAnsiTheme="minorHAnsi" w:cstheme="minorHAnsi"/>
          <w:szCs w:val="24"/>
        </w:rPr>
        <w:t>Once all clean-up material has been collected, tie the bag closed</w:t>
      </w:r>
      <w:r w:rsidR="005062E6">
        <w:rPr>
          <w:rFonts w:asciiTheme="minorHAnsi" w:hAnsiTheme="minorHAnsi" w:cstheme="minorHAnsi"/>
          <w:szCs w:val="24"/>
        </w:rPr>
        <w:t xml:space="preserve"> and place in a sealable hazardous waste container.</w:t>
      </w:r>
    </w:p>
    <w:p w14:paraId="623FB350" w14:textId="77777777" w:rsidR="00B277CB" w:rsidRPr="00D47523" w:rsidRDefault="00B277CB" w:rsidP="002C13BC">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40CEF6A1" w14:textId="77777777" w:rsidR="00B277CB" w:rsidRPr="006B1F2E" w:rsidRDefault="00B277CB" w:rsidP="002C13BC">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15"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5ED84DE9" w14:textId="77777777" w:rsidR="00B277CB" w:rsidRPr="00EE706A" w:rsidRDefault="00B277CB" w:rsidP="00B277CB">
      <w:pPr>
        <w:pStyle w:val="Heading1"/>
        <w:spacing w:before="120" w:after="120"/>
        <w:jc w:val="left"/>
        <w:rPr>
          <w:b w:val="0"/>
          <w:sz w:val="28"/>
          <w:szCs w:val="28"/>
        </w:rPr>
      </w:pPr>
      <w:r w:rsidRPr="00EE706A">
        <w:rPr>
          <w:sz w:val="28"/>
          <w:szCs w:val="28"/>
        </w:rPr>
        <w:t>Emergency Procedures</w:t>
      </w:r>
    </w:p>
    <w:p w14:paraId="2B31D22A" w14:textId="77777777" w:rsidR="00B277CB" w:rsidRPr="00D676E9" w:rsidRDefault="00B277CB" w:rsidP="002C13BC">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31586C07" w14:textId="77777777" w:rsidR="00B277CB" w:rsidRDefault="00B277CB" w:rsidP="00B277CB">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2835090F" w14:textId="77777777" w:rsidR="00B277CB" w:rsidRPr="009B1CB4" w:rsidRDefault="00B277CB" w:rsidP="00B277CB">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6"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15A946FD" w14:textId="77777777" w:rsidR="00B277CB" w:rsidRPr="000E52C6" w:rsidRDefault="00B277CB" w:rsidP="002C13BC">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1A1516C7" w14:textId="77777777" w:rsidR="00B277CB" w:rsidRPr="006B1F2E" w:rsidRDefault="00B277CB" w:rsidP="002C13BC">
      <w:pPr>
        <w:spacing w:after="0" w:line="240" w:lineRule="auto"/>
        <w:rPr>
          <w:rFonts w:eastAsia="Calibri" w:cstheme="minorHAnsi"/>
          <w:sz w:val="24"/>
          <w:szCs w:val="24"/>
        </w:rPr>
      </w:pPr>
    </w:p>
    <w:p w14:paraId="361792FB" w14:textId="77777777" w:rsidR="00B277CB" w:rsidRPr="006B1F2E" w:rsidRDefault="00B277CB" w:rsidP="00B277CB">
      <w:pPr>
        <w:pStyle w:val="ListParagraph"/>
        <w:numPr>
          <w:ilvl w:val="0"/>
          <w:numId w:val="22"/>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416E73FC" w14:textId="77777777" w:rsidR="00B277CB" w:rsidRPr="006B1F2E" w:rsidRDefault="00B277CB" w:rsidP="00B277CB">
      <w:pPr>
        <w:pStyle w:val="ListParagraph"/>
        <w:numPr>
          <w:ilvl w:val="1"/>
          <w:numId w:val="22"/>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45646B5B"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8774F9C"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5435ED6F"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lastRenderedPageBreak/>
        <w:t>Evacuate the area and go to your Emergency Assembly Point.</w:t>
      </w:r>
    </w:p>
    <w:p w14:paraId="33E2AC64"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19FC55D7"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0075E6F6" w14:textId="77777777" w:rsidR="00B277CB" w:rsidRPr="006B1F2E" w:rsidRDefault="00B277CB" w:rsidP="002C13BC">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462A1447" w14:textId="77777777" w:rsidR="00B277CB" w:rsidRPr="00D676E9" w:rsidRDefault="00B277CB" w:rsidP="00B277CB">
      <w:pPr>
        <w:pStyle w:val="ListParagraph"/>
        <w:numPr>
          <w:ilvl w:val="1"/>
          <w:numId w:val="22"/>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5758C860"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040BF55A"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59D03571"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239F0F49" w14:textId="77777777" w:rsidR="00B277CB" w:rsidRPr="006B1F2E" w:rsidRDefault="00B277CB" w:rsidP="00B277CB">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281A3831" w14:textId="77777777" w:rsidR="00B277CB" w:rsidRPr="006B1F2E" w:rsidRDefault="00B277CB" w:rsidP="00B277CB">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10EA6D05" w14:textId="77777777" w:rsidR="00B277CB" w:rsidRPr="006B1F2E" w:rsidRDefault="00B277CB" w:rsidP="00B277CB">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0C651BA8" w14:textId="77777777" w:rsidR="00B277CB" w:rsidRPr="006B1F2E" w:rsidRDefault="00B277CB" w:rsidP="00B277CB">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1DE2B069"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7"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1C965E59" w14:textId="77777777" w:rsidR="00B277CB" w:rsidRPr="006B1F2E" w:rsidRDefault="00B277CB" w:rsidP="00B277CB">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4FAE4AA2" w14:textId="77777777" w:rsidR="00B277CB" w:rsidRPr="00D676E9" w:rsidRDefault="00B277CB" w:rsidP="00B277CB">
      <w:pPr>
        <w:pStyle w:val="ListParagraph"/>
        <w:numPr>
          <w:ilvl w:val="0"/>
          <w:numId w:val="22"/>
        </w:numPr>
        <w:ind w:left="360"/>
        <w:rPr>
          <w:rFonts w:ascii="Calibri" w:hAnsi="Calibri" w:cs="Calibri"/>
          <w:b/>
        </w:rPr>
      </w:pPr>
      <w:r w:rsidRPr="00D676E9">
        <w:rPr>
          <w:rFonts w:ascii="Calibri" w:hAnsi="Calibri" w:cs="Calibri"/>
          <w:b/>
        </w:rPr>
        <w:t>Non-Health Threatening Emergencies</w:t>
      </w:r>
    </w:p>
    <w:p w14:paraId="6C71FB92" w14:textId="77777777" w:rsidR="00B277CB" w:rsidRPr="003760F9" w:rsidRDefault="00B277CB" w:rsidP="00B277CB">
      <w:pPr>
        <w:pStyle w:val="ListParagraph"/>
        <w:numPr>
          <w:ilvl w:val="1"/>
          <w:numId w:val="22"/>
        </w:numPr>
        <w:ind w:left="720"/>
        <w:rPr>
          <w:rFonts w:asciiTheme="minorHAnsi" w:hAnsiTheme="minorHAnsi" w:cstheme="minorHAnsi"/>
          <w:b/>
        </w:rPr>
      </w:pPr>
      <w:r w:rsidRPr="003760F9">
        <w:rPr>
          <w:rFonts w:asciiTheme="minorHAnsi" w:hAnsiTheme="minorHAnsi" w:cstheme="minorHAnsi"/>
          <w:b/>
        </w:rPr>
        <w:t>Injuries and Exposures</w:t>
      </w:r>
    </w:p>
    <w:p w14:paraId="6BCCFE42" w14:textId="77777777" w:rsidR="00B277CB" w:rsidRPr="006B1F2E" w:rsidRDefault="00B277CB" w:rsidP="002C13BC">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32430B4F" w14:textId="77777777" w:rsidR="00B277CB" w:rsidRDefault="00B277CB" w:rsidP="002C13BC">
      <w:pPr>
        <w:spacing w:after="0" w:line="240" w:lineRule="auto"/>
        <w:ind w:left="706"/>
        <w:rPr>
          <w:rFonts w:cstheme="minorHAnsi"/>
          <w:sz w:val="24"/>
          <w:szCs w:val="24"/>
        </w:rPr>
      </w:pPr>
      <w:r>
        <w:rPr>
          <w:rFonts w:cstheme="minorHAnsi"/>
          <w:sz w:val="24"/>
          <w:szCs w:val="24"/>
        </w:rPr>
        <w:t>Henry Ford Occupational Health – Harbortown</w:t>
      </w:r>
    </w:p>
    <w:p w14:paraId="5115ADBD" w14:textId="77777777" w:rsidR="00B277CB" w:rsidRDefault="00B277CB" w:rsidP="002C13BC">
      <w:pPr>
        <w:spacing w:after="0" w:line="240" w:lineRule="auto"/>
        <w:ind w:left="706"/>
        <w:rPr>
          <w:rFonts w:cstheme="minorHAnsi"/>
          <w:sz w:val="24"/>
          <w:szCs w:val="24"/>
        </w:rPr>
      </w:pPr>
      <w:r>
        <w:rPr>
          <w:rFonts w:cstheme="minorHAnsi"/>
          <w:sz w:val="24"/>
          <w:szCs w:val="24"/>
        </w:rPr>
        <w:t>3300 East Jefferson, Suite 100</w:t>
      </w:r>
    </w:p>
    <w:p w14:paraId="47B715E9" w14:textId="77777777" w:rsidR="00B277CB" w:rsidRDefault="00B277CB" w:rsidP="002C13BC">
      <w:pPr>
        <w:spacing w:after="0" w:line="240" w:lineRule="auto"/>
        <w:ind w:left="706"/>
        <w:rPr>
          <w:rFonts w:cstheme="minorHAnsi"/>
          <w:sz w:val="24"/>
          <w:szCs w:val="24"/>
        </w:rPr>
      </w:pPr>
      <w:r>
        <w:rPr>
          <w:rFonts w:cstheme="minorHAnsi"/>
          <w:sz w:val="24"/>
          <w:szCs w:val="24"/>
        </w:rPr>
        <w:t>Detroit MI 48207</w:t>
      </w:r>
    </w:p>
    <w:p w14:paraId="55D054D9" w14:textId="77777777" w:rsidR="00B277CB" w:rsidRDefault="00B277CB" w:rsidP="002C13BC">
      <w:pPr>
        <w:spacing w:after="0" w:line="240" w:lineRule="auto"/>
        <w:ind w:left="706"/>
        <w:rPr>
          <w:rFonts w:cstheme="minorHAnsi"/>
          <w:sz w:val="24"/>
          <w:szCs w:val="24"/>
        </w:rPr>
      </w:pPr>
      <w:r>
        <w:rPr>
          <w:rFonts w:cstheme="minorHAnsi"/>
          <w:sz w:val="24"/>
          <w:szCs w:val="24"/>
        </w:rPr>
        <w:t>(313) 656-1618</w:t>
      </w:r>
    </w:p>
    <w:p w14:paraId="3453F46E" w14:textId="77777777" w:rsidR="00B277CB" w:rsidRPr="006B1F2E" w:rsidRDefault="00B277CB" w:rsidP="002C13BC">
      <w:pPr>
        <w:spacing w:after="0" w:line="240" w:lineRule="auto"/>
        <w:ind w:left="706"/>
        <w:rPr>
          <w:rFonts w:cstheme="minorHAnsi"/>
          <w:sz w:val="24"/>
          <w:szCs w:val="24"/>
        </w:rPr>
      </w:pPr>
      <w:r>
        <w:rPr>
          <w:rFonts w:cstheme="minorHAnsi"/>
          <w:sz w:val="24"/>
          <w:szCs w:val="24"/>
        </w:rPr>
        <w:t>Monday – Friday 8:00 AM to 6:30 PM</w:t>
      </w:r>
    </w:p>
    <w:p w14:paraId="13D4F382" w14:textId="77777777" w:rsidR="00B277CB" w:rsidRPr="006B1F2E" w:rsidRDefault="00B277CB" w:rsidP="002C13BC">
      <w:pPr>
        <w:spacing w:after="0" w:line="240" w:lineRule="auto"/>
        <w:ind w:left="706"/>
        <w:rPr>
          <w:rFonts w:cstheme="minorHAnsi"/>
          <w:sz w:val="24"/>
          <w:szCs w:val="24"/>
        </w:rPr>
      </w:pPr>
    </w:p>
    <w:p w14:paraId="6B8E8A01" w14:textId="77777777" w:rsidR="00B277CB" w:rsidRPr="006B1F2E" w:rsidRDefault="00B277CB" w:rsidP="002C13BC">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56514904" w14:textId="77777777" w:rsidR="00B277CB" w:rsidRDefault="00B277CB" w:rsidP="002C13BC">
      <w:pPr>
        <w:spacing w:after="0" w:line="240" w:lineRule="auto"/>
        <w:ind w:left="706"/>
        <w:rPr>
          <w:rFonts w:cstheme="minorHAnsi"/>
          <w:sz w:val="24"/>
          <w:szCs w:val="24"/>
        </w:rPr>
      </w:pPr>
      <w:r>
        <w:rPr>
          <w:rFonts w:cstheme="minorHAnsi"/>
          <w:sz w:val="24"/>
          <w:szCs w:val="24"/>
        </w:rPr>
        <w:t>Henry Ford Hospital – Emergency Room</w:t>
      </w:r>
    </w:p>
    <w:p w14:paraId="076AF3A6" w14:textId="77777777" w:rsidR="00B277CB" w:rsidRDefault="00B277CB" w:rsidP="002C13BC">
      <w:pPr>
        <w:spacing w:after="0" w:line="240" w:lineRule="auto"/>
        <w:ind w:left="706"/>
        <w:rPr>
          <w:rFonts w:cstheme="minorHAnsi"/>
          <w:sz w:val="24"/>
          <w:szCs w:val="24"/>
        </w:rPr>
      </w:pPr>
      <w:r>
        <w:rPr>
          <w:rFonts w:cstheme="minorHAnsi"/>
          <w:sz w:val="24"/>
          <w:szCs w:val="24"/>
        </w:rPr>
        <w:t>2799 W. Grand Blvd.</w:t>
      </w:r>
    </w:p>
    <w:p w14:paraId="2D11EEF0" w14:textId="77777777" w:rsidR="00B277CB" w:rsidRDefault="00B277CB" w:rsidP="002C13BC">
      <w:pPr>
        <w:spacing w:after="0" w:line="240" w:lineRule="auto"/>
        <w:ind w:left="706"/>
        <w:rPr>
          <w:rFonts w:cstheme="minorHAnsi"/>
          <w:sz w:val="24"/>
          <w:szCs w:val="24"/>
        </w:rPr>
      </w:pPr>
      <w:r>
        <w:rPr>
          <w:rFonts w:cstheme="minorHAnsi"/>
          <w:sz w:val="24"/>
          <w:szCs w:val="24"/>
        </w:rPr>
        <w:t>Detroit MI 48202</w:t>
      </w:r>
    </w:p>
    <w:p w14:paraId="2408398B" w14:textId="77777777" w:rsidR="00B277CB" w:rsidRDefault="00B277CB" w:rsidP="002C13BC">
      <w:pPr>
        <w:spacing w:after="0" w:line="240" w:lineRule="auto"/>
        <w:ind w:left="706"/>
        <w:rPr>
          <w:rFonts w:cstheme="minorHAnsi"/>
          <w:sz w:val="24"/>
          <w:szCs w:val="24"/>
        </w:rPr>
      </w:pPr>
      <w:r>
        <w:rPr>
          <w:rFonts w:cstheme="minorHAnsi"/>
          <w:sz w:val="24"/>
          <w:szCs w:val="24"/>
        </w:rPr>
        <w:t>(313) 916-8742</w:t>
      </w:r>
    </w:p>
    <w:p w14:paraId="6A94407E" w14:textId="77777777" w:rsidR="00B277CB" w:rsidRDefault="00B277CB" w:rsidP="002C13BC">
      <w:pPr>
        <w:spacing w:after="0" w:line="240" w:lineRule="auto"/>
        <w:ind w:left="706"/>
        <w:rPr>
          <w:rFonts w:cstheme="minorHAnsi"/>
          <w:sz w:val="24"/>
          <w:szCs w:val="24"/>
        </w:rPr>
      </w:pPr>
      <w:r>
        <w:rPr>
          <w:rFonts w:cstheme="minorHAnsi"/>
          <w:sz w:val="24"/>
          <w:szCs w:val="24"/>
        </w:rPr>
        <w:t>OR</w:t>
      </w:r>
    </w:p>
    <w:p w14:paraId="547B080D" w14:textId="77777777" w:rsidR="00B277CB" w:rsidRPr="006B1F2E" w:rsidRDefault="00B277CB" w:rsidP="002C13BC">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0EF0B23E" w14:textId="77777777" w:rsidR="00B277CB" w:rsidRPr="006B1F2E" w:rsidRDefault="00B277CB" w:rsidP="002C13BC">
      <w:pPr>
        <w:spacing w:after="0" w:line="240" w:lineRule="auto"/>
        <w:ind w:left="706"/>
        <w:rPr>
          <w:rFonts w:cstheme="minorHAnsi"/>
          <w:sz w:val="24"/>
          <w:szCs w:val="24"/>
        </w:rPr>
      </w:pPr>
      <w:r w:rsidRPr="006B1F2E">
        <w:rPr>
          <w:rFonts w:cstheme="minorHAnsi"/>
          <w:sz w:val="24"/>
          <w:szCs w:val="24"/>
        </w:rPr>
        <w:t>4201 St. Antoine St, Detroit, MI 48201</w:t>
      </w:r>
    </w:p>
    <w:p w14:paraId="42F2ADFE" w14:textId="77777777" w:rsidR="00B277CB" w:rsidRPr="006B1F2E" w:rsidRDefault="00B277CB" w:rsidP="002C13BC">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7309CF53" w14:textId="77777777" w:rsidR="00B277CB" w:rsidRPr="00EE706A" w:rsidRDefault="00B277CB" w:rsidP="00B277CB">
      <w:pPr>
        <w:pStyle w:val="Heading1"/>
        <w:spacing w:before="120" w:after="120"/>
        <w:jc w:val="left"/>
        <w:rPr>
          <w:b w:val="0"/>
          <w:sz w:val="28"/>
          <w:szCs w:val="28"/>
        </w:rPr>
      </w:pPr>
      <w:r w:rsidRPr="00EE706A">
        <w:rPr>
          <w:sz w:val="28"/>
          <w:szCs w:val="28"/>
        </w:rPr>
        <w:t>Minimum Training Requirements</w:t>
      </w:r>
    </w:p>
    <w:p w14:paraId="47B33F28" w14:textId="77777777" w:rsidR="00DC6D4B" w:rsidRPr="006B1F2E" w:rsidRDefault="00DC6D4B" w:rsidP="00DC6D4B">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428AC317" w14:textId="77777777" w:rsidR="00DC6D4B" w:rsidRPr="00C91455" w:rsidRDefault="00DC6D4B" w:rsidP="00DC6D4B">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8"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606B0FDD" w14:textId="77777777" w:rsidR="00DC6D4B" w:rsidRPr="00E06D20" w:rsidRDefault="00DC6D4B" w:rsidP="00DC6D4B">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w:t>
      </w:r>
    </w:p>
    <w:p w14:paraId="064C6835" w14:textId="77777777" w:rsidR="00DC6D4B" w:rsidRPr="006B1F2E" w:rsidRDefault="00DC6D4B" w:rsidP="00DC6D4B">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3C466157" w14:textId="77777777" w:rsidR="00DC6D4B" w:rsidRPr="006B1F2E" w:rsidRDefault="00DC6D4B" w:rsidP="00DC6D4B">
      <w:pPr>
        <w:pStyle w:val="ListParagraph"/>
        <w:numPr>
          <w:ilvl w:val="0"/>
          <w:numId w:val="15"/>
        </w:numPr>
        <w:rPr>
          <w:rFonts w:asciiTheme="minorHAnsi" w:eastAsia="Times New Roman" w:hAnsiTheme="minorHAnsi" w:cstheme="minorHAnsi"/>
          <w:szCs w:val="24"/>
        </w:rPr>
      </w:pPr>
      <w:hyperlink r:id="rId19"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73112743" w14:textId="77777777" w:rsidR="00DC6D4B" w:rsidRPr="006B1F2E" w:rsidRDefault="00DC6D4B" w:rsidP="00DC6D4B">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741C1B50" w14:textId="77777777" w:rsidR="00DC6D4B" w:rsidRPr="006B1F2E" w:rsidRDefault="00DC6D4B" w:rsidP="00DC6D4B">
      <w:pPr>
        <w:pStyle w:val="ListParagraph"/>
        <w:numPr>
          <w:ilvl w:val="0"/>
          <w:numId w:val="32"/>
        </w:numPr>
        <w:rPr>
          <w:rFonts w:asciiTheme="minorHAnsi" w:eastAsia="Times New Roman" w:hAnsiTheme="minorHAnsi" w:cstheme="minorHAnsi"/>
          <w:szCs w:val="24"/>
          <w:shd w:val="clear" w:color="auto" w:fill="FFFFFF"/>
        </w:rPr>
      </w:pPr>
      <w:hyperlink r:id="rId20" w:history="1">
        <w:r w:rsidRPr="007E03CA">
          <w:rPr>
            <w:rStyle w:val="Hyperlink"/>
            <w:rFonts w:asciiTheme="minorHAnsi" w:eastAsia="Times New Roman" w:hAnsiTheme="minorHAnsi" w:cstheme="minorHAnsi"/>
            <w:szCs w:val="24"/>
            <w:shd w:val="clear" w:color="auto" w:fill="FFFFFF"/>
          </w:rPr>
          <w:t>Laboratory-Specific Safety Training checklist</w:t>
        </w:r>
      </w:hyperlink>
    </w:p>
    <w:p w14:paraId="7550D481" w14:textId="77777777" w:rsidR="00DC6D4B" w:rsidRPr="006B1F2E" w:rsidRDefault="00DC6D4B" w:rsidP="00DC6D4B">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lastRenderedPageBreak/>
        <w:t>Review of SDS for chemicals involved in process/experiment.</w:t>
      </w:r>
    </w:p>
    <w:p w14:paraId="38F5503A" w14:textId="77777777" w:rsidR="00DC6D4B" w:rsidRPr="006B1F2E" w:rsidRDefault="00DC6D4B" w:rsidP="00DC6D4B">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3613822F" w14:textId="77777777" w:rsidR="00DC6D4B" w:rsidRPr="006B1F2E" w:rsidRDefault="00DC6D4B" w:rsidP="00DC6D4B">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1"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257618FF" w14:textId="77777777" w:rsidR="00DC6D4B" w:rsidRPr="006B1F2E" w:rsidRDefault="00DC6D4B" w:rsidP="00DC6D4B">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4E7A6A62" w14:textId="77777777" w:rsidR="00B277CB" w:rsidRPr="00EE706A" w:rsidRDefault="00B277CB" w:rsidP="00B277CB">
      <w:pPr>
        <w:pStyle w:val="Heading1"/>
        <w:spacing w:before="120" w:after="120"/>
        <w:jc w:val="left"/>
        <w:rPr>
          <w:rFonts w:eastAsia="Calibri"/>
          <w:b w:val="0"/>
          <w:sz w:val="28"/>
          <w:szCs w:val="28"/>
        </w:rPr>
      </w:pPr>
      <w:r w:rsidRPr="00EE706A">
        <w:rPr>
          <w:rFonts w:eastAsia="Calibri"/>
          <w:sz w:val="28"/>
          <w:szCs w:val="28"/>
        </w:rPr>
        <w:t>Laboratory Personnel Review</w:t>
      </w:r>
    </w:p>
    <w:p w14:paraId="49501089" w14:textId="77777777" w:rsidR="00B277CB" w:rsidRPr="006B1F2E" w:rsidRDefault="00B277CB" w:rsidP="00B277CB">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D338BC" w:rsidRPr="00037EFC" w14:paraId="0329E5F1" w14:textId="77777777" w:rsidTr="0065237E">
        <w:trPr>
          <w:trHeight w:val="410"/>
          <w:tblHeader/>
        </w:trPr>
        <w:tc>
          <w:tcPr>
            <w:tcW w:w="4587" w:type="dxa"/>
          </w:tcPr>
          <w:p w14:paraId="69978698" w14:textId="77777777" w:rsidR="00D338BC" w:rsidRPr="00037EFC" w:rsidRDefault="00D338BC" w:rsidP="0065237E">
            <w:pPr>
              <w:rPr>
                <w:rFonts w:asciiTheme="minorHAnsi" w:hAnsiTheme="minorHAnsi" w:cstheme="minorHAnsi"/>
                <w:b/>
                <w:sz w:val="24"/>
                <w:szCs w:val="24"/>
              </w:rPr>
            </w:pPr>
            <w:r w:rsidRPr="00037EFC">
              <w:rPr>
                <w:rFonts w:asciiTheme="minorHAnsi" w:hAnsiTheme="minorHAnsi" w:cstheme="minorHAnsi"/>
                <w:b/>
                <w:sz w:val="24"/>
                <w:szCs w:val="24"/>
              </w:rPr>
              <w:t>Name</w:t>
            </w:r>
          </w:p>
        </w:tc>
        <w:tc>
          <w:tcPr>
            <w:tcW w:w="4588" w:type="dxa"/>
          </w:tcPr>
          <w:p w14:paraId="751362D6" w14:textId="77777777" w:rsidR="00D338BC" w:rsidRPr="00037EFC" w:rsidRDefault="00D338BC" w:rsidP="0065237E">
            <w:pPr>
              <w:rPr>
                <w:rFonts w:asciiTheme="minorHAnsi" w:hAnsiTheme="minorHAnsi" w:cstheme="minorHAnsi"/>
                <w:b/>
                <w:sz w:val="24"/>
                <w:szCs w:val="24"/>
              </w:rPr>
            </w:pPr>
            <w:r w:rsidRPr="00037EFC">
              <w:rPr>
                <w:rFonts w:asciiTheme="minorHAnsi" w:hAnsiTheme="minorHAnsi" w:cstheme="minorHAnsi"/>
                <w:b/>
                <w:sz w:val="24"/>
                <w:szCs w:val="24"/>
              </w:rPr>
              <w:t>Signature</w:t>
            </w:r>
          </w:p>
        </w:tc>
        <w:tc>
          <w:tcPr>
            <w:tcW w:w="1627" w:type="dxa"/>
          </w:tcPr>
          <w:p w14:paraId="03C3A1FC" w14:textId="77777777" w:rsidR="00D338BC" w:rsidRPr="00037EFC" w:rsidRDefault="00D338BC" w:rsidP="0065237E">
            <w:pPr>
              <w:rPr>
                <w:rFonts w:asciiTheme="minorHAnsi" w:hAnsiTheme="minorHAnsi" w:cstheme="minorHAnsi"/>
                <w:b/>
                <w:sz w:val="24"/>
                <w:szCs w:val="24"/>
              </w:rPr>
            </w:pPr>
            <w:r w:rsidRPr="00037EFC">
              <w:rPr>
                <w:rFonts w:asciiTheme="minorHAnsi" w:hAnsiTheme="minorHAnsi" w:cstheme="minorHAnsi"/>
                <w:b/>
                <w:sz w:val="24"/>
                <w:szCs w:val="24"/>
              </w:rPr>
              <w:t>Date</w:t>
            </w:r>
          </w:p>
        </w:tc>
      </w:tr>
      <w:tr w:rsidR="00D338BC" w:rsidRPr="00037EFC" w14:paraId="4FD74099" w14:textId="77777777" w:rsidTr="0065237E">
        <w:trPr>
          <w:trHeight w:val="410"/>
          <w:tblHeader/>
        </w:trPr>
        <w:tc>
          <w:tcPr>
            <w:tcW w:w="4587" w:type="dxa"/>
          </w:tcPr>
          <w:p w14:paraId="7966F429" w14:textId="77777777" w:rsidR="00D338BC" w:rsidRPr="00037EFC" w:rsidRDefault="00D338BC" w:rsidP="0065237E">
            <w:pPr>
              <w:rPr>
                <w:rFonts w:asciiTheme="minorHAnsi" w:hAnsiTheme="minorHAnsi" w:cstheme="minorHAnsi"/>
                <w:sz w:val="24"/>
                <w:szCs w:val="24"/>
              </w:rPr>
            </w:pPr>
          </w:p>
        </w:tc>
        <w:tc>
          <w:tcPr>
            <w:tcW w:w="4588" w:type="dxa"/>
          </w:tcPr>
          <w:p w14:paraId="7DB1D024" w14:textId="77777777" w:rsidR="00D338BC" w:rsidRPr="00037EFC" w:rsidRDefault="00D338BC" w:rsidP="0065237E">
            <w:pPr>
              <w:rPr>
                <w:rFonts w:asciiTheme="minorHAnsi" w:hAnsiTheme="minorHAnsi" w:cstheme="minorHAnsi"/>
                <w:sz w:val="24"/>
                <w:szCs w:val="24"/>
              </w:rPr>
            </w:pPr>
          </w:p>
        </w:tc>
        <w:tc>
          <w:tcPr>
            <w:tcW w:w="1627" w:type="dxa"/>
          </w:tcPr>
          <w:p w14:paraId="298AE09A" w14:textId="77777777" w:rsidR="00D338BC" w:rsidRPr="00037EFC" w:rsidRDefault="00D338BC" w:rsidP="0065237E">
            <w:pPr>
              <w:rPr>
                <w:rFonts w:asciiTheme="minorHAnsi" w:hAnsiTheme="minorHAnsi" w:cstheme="minorHAnsi"/>
                <w:sz w:val="24"/>
                <w:szCs w:val="24"/>
              </w:rPr>
            </w:pPr>
          </w:p>
        </w:tc>
      </w:tr>
      <w:tr w:rsidR="00D338BC" w:rsidRPr="00037EFC" w14:paraId="56729DDA" w14:textId="77777777" w:rsidTr="0065237E">
        <w:trPr>
          <w:trHeight w:val="410"/>
          <w:tblHeader/>
        </w:trPr>
        <w:tc>
          <w:tcPr>
            <w:tcW w:w="4587" w:type="dxa"/>
          </w:tcPr>
          <w:p w14:paraId="0FD60075" w14:textId="77777777" w:rsidR="00D338BC" w:rsidRPr="00037EFC" w:rsidRDefault="00D338BC" w:rsidP="0065237E">
            <w:pPr>
              <w:rPr>
                <w:rFonts w:asciiTheme="minorHAnsi" w:hAnsiTheme="minorHAnsi" w:cstheme="minorHAnsi"/>
                <w:sz w:val="24"/>
                <w:szCs w:val="24"/>
              </w:rPr>
            </w:pPr>
          </w:p>
        </w:tc>
        <w:tc>
          <w:tcPr>
            <w:tcW w:w="4588" w:type="dxa"/>
          </w:tcPr>
          <w:p w14:paraId="1FDC37F0" w14:textId="77777777" w:rsidR="00D338BC" w:rsidRPr="00037EFC" w:rsidRDefault="00D338BC" w:rsidP="0065237E">
            <w:pPr>
              <w:rPr>
                <w:rFonts w:asciiTheme="minorHAnsi" w:hAnsiTheme="minorHAnsi" w:cstheme="minorHAnsi"/>
                <w:sz w:val="24"/>
                <w:szCs w:val="24"/>
              </w:rPr>
            </w:pPr>
          </w:p>
        </w:tc>
        <w:tc>
          <w:tcPr>
            <w:tcW w:w="1627" w:type="dxa"/>
          </w:tcPr>
          <w:p w14:paraId="5E5AA4D6" w14:textId="77777777" w:rsidR="00D338BC" w:rsidRPr="00037EFC" w:rsidRDefault="00D338BC" w:rsidP="0065237E">
            <w:pPr>
              <w:rPr>
                <w:rFonts w:asciiTheme="minorHAnsi" w:hAnsiTheme="minorHAnsi" w:cstheme="minorHAnsi"/>
                <w:sz w:val="24"/>
                <w:szCs w:val="24"/>
              </w:rPr>
            </w:pPr>
          </w:p>
        </w:tc>
      </w:tr>
      <w:tr w:rsidR="00D338BC" w:rsidRPr="00037EFC" w14:paraId="70174B6A" w14:textId="77777777" w:rsidTr="0065237E">
        <w:trPr>
          <w:trHeight w:val="410"/>
          <w:tblHeader/>
        </w:trPr>
        <w:tc>
          <w:tcPr>
            <w:tcW w:w="4587" w:type="dxa"/>
          </w:tcPr>
          <w:p w14:paraId="061E948F" w14:textId="77777777" w:rsidR="00D338BC" w:rsidRPr="00037EFC" w:rsidRDefault="00D338BC" w:rsidP="0065237E">
            <w:pPr>
              <w:rPr>
                <w:rFonts w:asciiTheme="minorHAnsi" w:hAnsiTheme="minorHAnsi" w:cstheme="minorHAnsi"/>
                <w:sz w:val="24"/>
                <w:szCs w:val="24"/>
              </w:rPr>
            </w:pPr>
          </w:p>
        </w:tc>
        <w:tc>
          <w:tcPr>
            <w:tcW w:w="4588" w:type="dxa"/>
          </w:tcPr>
          <w:p w14:paraId="5E35D5B0" w14:textId="77777777" w:rsidR="00D338BC" w:rsidRPr="00037EFC" w:rsidRDefault="00D338BC" w:rsidP="0065237E">
            <w:pPr>
              <w:rPr>
                <w:rFonts w:asciiTheme="minorHAnsi" w:hAnsiTheme="minorHAnsi" w:cstheme="minorHAnsi"/>
                <w:sz w:val="24"/>
                <w:szCs w:val="24"/>
              </w:rPr>
            </w:pPr>
          </w:p>
        </w:tc>
        <w:tc>
          <w:tcPr>
            <w:tcW w:w="1627" w:type="dxa"/>
          </w:tcPr>
          <w:p w14:paraId="5253B36D" w14:textId="77777777" w:rsidR="00D338BC" w:rsidRPr="00037EFC" w:rsidRDefault="00D338BC" w:rsidP="0065237E">
            <w:pPr>
              <w:rPr>
                <w:rFonts w:asciiTheme="minorHAnsi" w:hAnsiTheme="minorHAnsi" w:cstheme="minorHAnsi"/>
                <w:sz w:val="24"/>
                <w:szCs w:val="24"/>
              </w:rPr>
            </w:pPr>
          </w:p>
        </w:tc>
      </w:tr>
      <w:tr w:rsidR="00D338BC" w:rsidRPr="00037EFC" w14:paraId="1CA7333D" w14:textId="77777777" w:rsidTr="0065237E">
        <w:trPr>
          <w:trHeight w:val="410"/>
          <w:tblHeader/>
        </w:trPr>
        <w:tc>
          <w:tcPr>
            <w:tcW w:w="4587" w:type="dxa"/>
          </w:tcPr>
          <w:p w14:paraId="48B51426" w14:textId="77777777" w:rsidR="00D338BC" w:rsidRPr="00037EFC" w:rsidRDefault="00D338BC" w:rsidP="0065237E">
            <w:pPr>
              <w:rPr>
                <w:rFonts w:asciiTheme="minorHAnsi" w:hAnsiTheme="minorHAnsi" w:cstheme="minorHAnsi"/>
                <w:sz w:val="24"/>
                <w:szCs w:val="24"/>
              </w:rPr>
            </w:pPr>
          </w:p>
        </w:tc>
        <w:tc>
          <w:tcPr>
            <w:tcW w:w="4588" w:type="dxa"/>
          </w:tcPr>
          <w:p w14:paraId="65D2CC58" w14:textId="77777777" w:rsidR="00D338BC" w:rsidRPr="00037EFC" w:rsidRDefault="00D338BC" w:rsidP="0065237E">
            <w:pPr>
              <w:rPr>
                <w:rFonts w:asciiTheme="minorHAnsi" w:hAnsiTheme="minorHAnsi" w:cstheme="minorHAnsi"/>
                <w:sz w:val="24"/>
                <w:szCs w:val="24"/>
              </w:rPr>
            </w:pPr>
          </w:p>
        </w:tc>
        <w:tc>
          <w:tcPr>
            <w:tcW w:w="1627" w:type="dxa"/>
          </w:tcPr>
          <w:p w14:paraId="62F6444D" w14:textId="77777777" w:rsidR="00D338BC" w:rsidRPr="00037EFC" w:rsidRDefault="00D338BC" w:rsidP="0065237E">
            <w:pPr>
              <w:rPr>
                <w:rFonts w:asciiTheme="minorHAnsi" w:hAnsiTheme="minorHAnsi" w:cstheme="minorHAnsi"/>
                <w:sz w:val="24"/>
                <w:szCs w:val="24"/>
              </w:rPr>
            </w:pPr>
          </w:p>
        </w:tc>
      </w:tr>
      <w:tr w:rsidR="00D338BC" w:rsidRPr="00037EFC" w14:paraId="1B475891" w14:textId="77777777" w:rsidTr="0065237E">
        <w:trPr>
          <w:trHeight w:val="410"/>
          <w:tblHeader/>
        </w:trPr>
        <w:tc>
          <w:tcPr>
            <w:tcW w:w="4587" w:type="dxa"/>
          </w:tcPr>
          <w:p w14:paraId="556568E6" w14:textId="77777777" w:rsidR="00D338BC" w:rsidRPr="00037EFC" w:rsidRDefault="00D338BC" w:rsidP="0065237E">
            <w:pPr>
              <w:rPr>
                <w:rFonts w:asciiTheme="minorHAnsi" w:hAnsiTheme="minorHAnsi" w:cstheme="minorHAnsi"/>
                <w:sz w:val="24"/>
                <w:szCs w:val="24"/>
              </w:rPr>
            </w:pPr>
          </w:p>
        </w:tc>
        <w:tc>
          <w:tcPr>
            <w:tcW w:w="4588" w:type="dxa"/>
          </w:tcPr>
          <w:p w14:paraId="2E76332C" w14:textId="77777777" w:rsidR="00D338BC" w:rsidRPr="00037EFC" w:rsidRDefault="00D338BC" w:rsidP="0065237E">
            <w:pPr>
              <w:rPr>
                <w:rFonts w:asciiTheme="minorHAnsi" w:hAnsiTheme="minorHAnsi" w:cstheme="minorHAnsi"/>
                <w:sz w:val="24"/>
                <w:szCs w:val="24"/>
              </w:rPr>
            </w:pPr>
          </w:p>
        </w:tc>
        <w:tc>
          <w:tcPr>
            <w:tcW w:w="1627" w:type="dxa"/>
          </w:tcPr>
          <w:p w14:paraId="0795DCE1" w14:textId="77777777" w:rsidR="00D338BC" w:rsidRPr="00037EFC" w:rsidRDefault="00D338BC" w:rsidP="0065237E">
            <w:pPr>
              <w:rPr>
                <w:rFonts w:asciiTheme="minorHAnsi" w:hAnsiTheme="minorHAnsi" w:cstheme="minorHAnsi"/>
                <w:sz w:val="24"/>
                <w:szCs w:val="24"/>
              </w:rPr>
            </w:pPr>
          </w:p>
        </w:tc>
      </w:tr>
      <w:tr w:rsidR="00D338BC" w:rsidRPr="00037EFC" w14:paraId="3B58C83E" w14:textId="77777777" w:rsidTr="0065237E">
        <w:trPr>
          <w:trHeight w:val="410"/>
          <w:tblHeader/>
        </w:trPr>
        <w:tc>
          <w:tcPr>
            <w:tcW w:w="4587" w:type="dxa"/>
          </w:tcPr>
          <w:p w14:paraId="1B1D6854" w14:textId="77777777" w:rsidR="00D338BC" w:rsidRPr="00037EFC" w:rsidRDefault="00D338BC" w:rsidP="0065237E">
            <w:pPr>
              <w:rPr>
                <w:rFonts w:asciiTheme="minorHAnsi" w:hAnsiTheme="minorHAnsi" w:cstheme="minorHAnsi"/>
                <w:sz w:val="24"/>
                <w:szCs w:val="24"/>
              </w:rPr>
            </w:pPr>
          </w:p>
        </w:tc>
        <w:tc>
          <w:tcPr>
            <w:tcW w:w="4588" w:type="dxa"/>
          </w:tcPr>
          <w:p w14:paraId="52381417" w14:textId="77777777" w:rsidR="00D338BC" w:rsidRPr="00037EFC" w:rsidRDefault="00D338BC" w:rsidP="0065237E">
            <w:pPr>
              <w:rPr>
                <w:rFonts w:asciiTheme="minorHAnsi" w:hAnsiTheme="minorHAnsi" w:cstheme="minorHAnsi"/>
                <w:sz w:val="24"/>
                <w:szCs w:val="24"/>
              </w:rPr>
            </w:pPr>
          </w:p>
        </w:tc>
        <w:tc>
          <w:tcPr>
            <w:tcW w:w="1627" w:type="dxa"/>
          </w:tcPr>
          <w:p w14:paraId="4C678B53" w14:textId="77777777" w:rsidR="00D338BC" w:rsidRPr="00037EFC" w:rsidRDefault="00D338BC" w:rsidP="0065237E">
            <w:pPr>
              <w:rPr>
                <w:rFonts w:asciiTheme="minorHAnsi" w:hAnsiTheme="minorHAnsi" w:cstheme="minorHAnsi"/>
                <w:sz w:val="24"/>
                <w:szCs w:val="24"/>
              </w:rPr>
            </w:pPr>
          </w:p>
        </w:tc>
      </w:tr>
      <w:tr w:rsidR="00D338BC" w:rsidRPr="00037EFC" w14:paraId="79262E5F" w14:textId="77777777" w:rsidTr="0065237E">
        <w:trPr>
          <w:trHeight w:val="410"/>
          <w:tblHeader/>
        </w:trPr>
        <w:tc>
          <w:tcPr>
            <w:tcW w:w="4587" w:type="dxa"/>
          </w:tcPr>
          <w:p w14:paraId="5806CB3D" w14:textId="77777777" w:rsidR="00D338BC" w:rsidRPr="00037EFC" w:rsidRDefault="00D338BC" w:rsidP="0065237E">
            <w:pPr>
              <w:rPr>
                <w:rFonts w:asciiTheme="minorHAnsi" w:hAnsiTheme="minorHAnsi" w:cstheme="minorHAnsi"/>
                <w:sz w:val="24"/>
                <w:szCs w:val="24"/>
              </w:rPr>
            </w:pPr>
          </w:p>
        </w:tc>
        <w:tc>
          <w:tcPr>
            <w:tcW w:w="4588" w:type="dxa"/>
          </w:tcPr>
          <w:p w14:paraId="17AFBF66" w14:textId="77777777" w:rsidR="00D338BC" w:rsidRPr="00037EFC" w:rsidRDefault="00D338BC" w:rsidP="0065237E">
            <w:pPr>
              <w:rPr>
                <w:rFonts w:asciiTheme="minorHAnsi" w:hAnsiTheme="minorHAnsi" w:cstheme="minorHAnsi"/>
                <w:sz w:val="24"/>
                <w:szCs w:val="24"/>
              </w:rPr>
            </w:pPr>
          </w:p>
        </w:tc>
        <w:tc>
          <w:tcPr>
            <w:tcW w:w="1627" w:type="dxa"/>
          </w:tcPr>
          <w:p w14:paraId="4C4E7688" w14:textId="77777777" w:rsidR="00D338BC" w:rsidRPr="00037EFC" w:rsidRDefault="00D338BC" w:rsidP="0065237E">
            <w:pPr>
              <w:rPr>
                <w:rFonts w:asciiTheme="minorHAnsi" w:hAnsiTheme="minorHAnsi" w:cstheme="minorHAnsi"/>
                <w:sz w:val="24"/>
                <w:szCs w:val="24"/>
              </w:rPr>
            </w:pPr>
          </w:p>
        </w:tc>
      </w:tr>
      <w:tr w:rsidR="00D338BC" w:rsidRPr="00037EFC" w14:paraId="59248230" w14:textId="77777777" w:rsidTr="0065237E">
        <w:trPr>
          <w:trHeight w:val="410"/>
          <w:tblHeader/>
        </w:trPr>
        <w:tc>
          <w:tcPr>
            <w:tcW w:w="4587" w:type="dxa"/>
          </w:tcPr>
          <w:p w14:paraId="48CDF317" w14:textId="77777777" w:rsidR="00D338BC" w:rsidRPr="00037EFC" w:rsidRDefault="00D338BC" w:rsidP="0065237E">
            <w:pPr>
              <w:rPr>
                <w:rFonts w:asciiTheme="minorHAnsi" w:hAnsiTheme="minorHAnsi" w:cstheme="minorHAnsi"/>
                <w:sz w:val="24"/>
                <w:szCs w:val="24"/>
              </w:rPr>
            </w:pPr>
          </w:p>
        </w:tc>
        <w:tc>
          <w:tcPr>
            <w:tcW w:w="4588" w:type="dxa"/>
          </w:tcPr>
          <w:p w14:paraId="1FF38782" w14:textId="77777777" w:rsidR="00D338BC" w:rsidRPr="00037EFC" w:rsidRDefault="00D338BC" w:rsidP="0065237E">
            <w:pPr>
              <w:rPr>
                <w:rFonts w:asciiTheme="minorHAnsi" w:hAnsiTheme="minorHAnsi" w:cstheme="minorHAnsi"/>
                <w:sz w:val="24"/>
                <w:szCs w:val="24"/>
              </w:rPr>
            </w:pPr>
          </w:p>
        </w:tc>
        <w:tc>
          <w:tcPr>
            <w:tcW w:w="1627" w:type="dxa"/>
          </w:tcPr>
          <w:p w14:paraId="5CA24B02" w14:textId="77777777" w:rsidR="00D338BC" w:rsidRPr="00037EFC" w:rsidRDefault="00D338BC" w:rsidP="0065237E">
            <w:pPr>
              <w:rPr>
                <w:rFonts w:asciiTheme="minorHAnsi" w:hAnsiTheme="minorHAnsi" w:cstheme="minorHAnsi"/>
                <w:sz w:val="24"/>
                <w:szCs w:val="24"/>
              </w:rPr>
            </w:pPr>
          </w:p>
        </w:tc>
      </w:tr>
      <w:tr w:rsidR="00D338BC" w:rsidRPr="00037EFC" w14:paraId="0289F00A" w14:textId="77777777" w:rsidTr="0065237E">
        <w:trPr>
          <w:trHeight w:val="410"/>
          <w:tblHeader/>
        </w:trPr>
        <w:tc>
          <w:tcPr>
            <w:tcW w:w="4587" w:type="dxa"/>
          </w:tcPr>
          <w:p w14:paraId="68A34BF1" w14:textId="77777777" w:rsidR="00D338BC" w:rsidRPr="00037EFC" w:rsidRDefault="00D338BC" w:rsidP="0065237E">
            <w:pPr>
              <w:rPr>
                <w:rFonts w:asciiTheme="minorHAnsi" w:hAnsiTheme="minorHAnsi" w:cstheme="minorHAnsi"/>
                <w:sz w:val="24"/>
                <w:szCs w:val="24"/>
              </w:rPr>
            </w:pPr>
          </w:p>
        </w:tc>
        <w:tc>
          <w:tcPr>
            <w:tcW w:w="4588" w:type="dxa"/>
          </w:tcPr>
          <w:p w14:paraId="5BA55AF4" w14:textId="77777777" w:rsidR="00D338BC" w:rsidRPr="00037EFC" w:rsidRDefault="00D338BC" w:rsidP="0065237E">
            <w:pPr>
              <w:rPr>
                <w:rFonts w:asciiTheme="minorHAnsi" w:hAnsiTheme="minorHAnsi" w:cstheme="minorHAnsi"/>
                <w:sz w:val="24"/>
                <w:szCs w:val="24"/>
              </w:rPr>
            </w:pPr>
          </w:p>
        </w:tc>
        <w:tc>
          <w:tcPr>
            <w:tcW w:w="1627" w:type="dxa"/>
          </w:tcPr>
          <w:p w14:paraId="719F2CE3" w14:textId="77777777" w:rsidR="00D338BC" w:rsidRPr="00037EFC" w:rsidRDefault="00D338BC" w:rsidP="0065237E">
            <w:pPr>
              <w:rPr>
                <w:rFonts w:asciiTheme="minorHAnsi" w:hAnsiTheme="minorHAnsi" w:cstheme="minorHAnsi"/>
                <w:sz w:val="24"/>
                <w:szCs w:val="24"/>
              </w:rPr>
            </w:pPr>
          </w:p>
        </w:tc>
      </w:tr>
      <w:tr w:rsidR="00D338BC" w:rsidRPr="00037EFC" w14:paraId="7367727D" w14:textId="77777777" w:rsidTr="0065237E">
        <w:trPr>
          <w:trHeight w:val="410"/>
          <w:tblHeader/>
        </w:trPr>
        <w:tc>
          <w:tcPr>
            <w:tcW w:w="4587" w:type="dxa"/>
          </w:tcPr>
          <w:p w14:paraId="00CA4E95" w14:textId="77777777" w:rsidR="00D338BC" w:rsidRPr="00037EFC" w:rsidRDefault="00D338BC" w:rsidP="0065237E">
            <w:pPr>
              <w:rPr>
                <w:rFonts w:asciiTheme="minorHAnsi" w:hAnsiTheme="minorHAnsi" w:cstheme="minorHAnsi"/>
                <w:sz w:val="24"/>
                <w:szCs w:val="24"/>
              </w:rPr>
            </w:pPr>
          </w:p>
        </w:tc>
        <w:tc>
          <w:tcPr>
            <w:tcW w:w="4588" w:type="dxa"/>
          </w:tcPr>
          <w:p w14:paraId="6C355E47" w14:textId="77777777" w:rsidR="00D338BC" w:rsidRPr="00037EFC" w:rsidRDefault="00D338BC" w:rsidP="0065237E">
            <w:pPr>
              <w:rPr>
                <w:rFonts w:asciiTheme="minorHAnsi" w:hAnsiTheme="minorHAnsi" w:cstheme="minorHAnsi"/>
                <w:sz w:val="24"/>
                <w:szCs w:val="24"/>
              </w:rPr>
            </w:pPr>
          </w:p>
        </w:tc>
        <w:tc>
          <w:tcPr>
            <w:tcW w:w="1627" w:type="dxa"/>
          </w:tcPr>
          <w:p w14:paraId="566ECAD0" w14:textId="77777777" w:rsidR="00D338BC" w:rsidRPr="00037EFC" w:rsidRDefault="00D338BC" w:rsidP="0065237E">
            <w:pPr>
              <w:rPr>
                <w:rFonts w:asciiTheme="minorHAnsi" w:hAnsiTheme="minorHAnsi" w:cstheme="minorHAnsi"/>
                <w:sz w:val="24"/>
                <w:szCs w:val="24"/>
              </w:rPr>
            </w:pPr>
          </w:p>
        </w:tc>
      </w:tr>
    </w:tbl>
    <w:p w14:paraId="62A018F3" w14:textId="77777777" w:rsidR="00D338BC" w:rsidRPr="00037EFC" w:rsidRDefault="00D338BC" w:rsidP="00D338BC">
      <w:pPr>
        <w:spacing w:after="0" w:line="240" w:lineRule="auto"/>
        <w:rPr>
          <w:rFonts w:cstheme="minorHAnsi"/>
          <w:sz w:val="24"/>
          <w:szCs w:val="24"/>
        </w:rPr>
      </w:pPr>
    </w:p>
    <w:p w14:paraId="54127551" w14:textId="77777777" w:rsidR="00297438" w:rsidRPr="00D338BC" w:rsidRDefault="00297438" w:rsidP="00DC6D4B"/>
    <w:sectPr w:rsidR="00297438" w:rsidRPr="00D338BC" w:rsidSect="00B739B9">
      <w:headerReference w:type="default" r:id="rId22"/>
      <w:footerReference w:type="default" r:id="rId23"/>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3609" w14:textId="77777777" w:rsidR="00143808" w:rsidRDefault="00143808" w:rsidP="0084336D">
      <w:pPr>
        <w:spacing w:after="0" w:line="240" w:lineRule="auto"/>
      </w:pPr>
      <w:r>
        <w:separator/>
      </w:r>
    </w:p>
  </w:endnote>
  <w:endnote w:type="continuationSeparator" w:id="0">
    <w:p w14:paraId="32149EE3" w14:textId="77777777" w:rsidR="00143808" w:rsidRDefault="00143808"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4CC4" w14:textId="36B7E535" w:rsidR="0084336D" w:rsidRPr="00044B62" w:rsidRDefault="001D6615">
    <w:pPr>
      <w:pStyle w:val="Footer"/>
      <w:rPr>
        <w:sz w:val="18"/>
        <w:szCs w:val="18"/>
      </w:rPr>
    </w:pPr>
    <w:r>
      <w:rPr>
        <w:sz w:val="18"/>
        <w:szCs w:val="18"/>
      </w:rPr>
      <w:t>Office of Environmental Health &amp; Safety (</w:t>
    </w:r>
    <w:r w:rsidR="0084336D" w:rsidRPr="00044B62">
      <w:rPr>
        <w:sz w:val="18"/>
        <w:szCs w:val="18"/>
      </w:rPr>
      <w:t>OEHS</w:t>
    </w:r>
    <w:r>
      <w:rPr>
        <w:sz w:val="18"/>
        <w:szCs w:val="18"/>
      </w:rPr>
      <w:t>)</w:t>
    </w:r>
    <w:r w:rsidR="0084336D" w:rsidRPr="00044B62">
      <w:rPr>
        <w:sz w:val="18"/>
        <w:szCs w:val="18"/>
      </w:rPr>
      <w:t xml:space="preserve"> – Revised </w:t>
    </w:r>
    <w:r>
      <w:rPr>
        <w:sz w:val="18"/>
        <w:szCs w:val="18"/>
      </w:rPr>
      <w:t>3/20</w:t>
    </w:r>
    <w:r w:rsidR="0084336D" w:rsidRPr="00044B62">
      <w:rPr>
        <w:sz w:val="18"/>
        <w:szCs w:val="18"/>
      </w:rPr>
      <w:t>/2020</w:t>
    </w:r>
    <w:r w:rsidR="0084336D" w:rsidRPr="00044B62">
      <w:rPr>
        <w:sz w:val="18"/>
        <w:szCs w:val="18"/>
      </w:rPr>
      <w:tab/>
      <w:t>19-0</w:t>
    </w:r>
    <w:r w:rsidR="003761CB">
      <w:rPr>
        <w:sz w:val="18"/>
        <w:szCs w:val="18"/>
      </w:rPr>
      <w:t>18</w:t>
    </w:r>
    <w:r w:rsidR="0084336D" w:rsidRPr="00044B62">
      <w:rPr>
        <w:sz w:val="18"/>
        <w:szCs w:val="18"/>
      </w:rPr>
      <w:t xml:space="preserve">S_SOP </w:t>
    </w:r>
    <w:r w:rsidR="003761CB">
      <w:rPr>
        <w:sz w:val="18"/>
        <w:szCs w:val="18"/>
      </w:rPr>
      <w:t>Biological Toxins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5461" w14:textId="77777777" w:rsidR="00143808" w:rsidRDefault="00143808" w:rsidP="0084336D">
      <w:pPr>
        <w:spacing w:after="0" w:line="240" w:lineRule="auto"/>
      </w:pPr>
      <w:r>
        <w:separator/>
      </w:r>
    </w:p>
  </w:footnote>
  <w:footnote w:type="continuationSeparator" w:id="0">
    <w:p w14:paraId="4AD4AE8B" w14:textId="77777777" w:rsidR="00143808" w:rsidRDefault="00143808"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C27B" w14:textId="07304ECC" w:rsidR="00044B62" w:rsidRPr="00D338BC" w:rsidRDefault="00D338BC" w:rsidP="00D338BC">
    <w:pPr>
      <w:pStyle w:val="Header"/>
      <w:jc w:val="center"/>
    </w:pPr>
    <w:r>
      <w:rPr>
        <w:rFonts w:ascii="Helvetica" w:hAnsi="Helvetica"/>
        <w:noProof/>
        <w:color w:val="0A483F"/>
      </w:rPr>
      <w:drawing>
        <wp:inline distT="0" distB="0" distL="0" distR="0" wp14:anchorId="30EF3500" wp14:editId="63D10BED">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65C37583" wp14:editId="16800A71">
          <wp:extent cx="691515" cy="523240"/>
          <wp:effectExtent l="0" t="0" r="0" b="0"/>
          <wp:docPr id="3" name="Picture 3" descr="Office of Environmental Health and Safety logo" title="Environmental Health Saf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DF"/>
    <w:multiLevelType w:val="hybridMultilevel"/>
    <w:tmpl w:val="D1289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0D13"/>
    <w:multiLevelType w:val="hybridMultilevel"/>
    <w:tmpl w:val="6C6E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361A3"/>
    <w:multiLevelType w:val="hybridMultilevel"/>
    <w:tmpl w:val="7960D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34D75"/>
    <w:multiLevelType w:val="hybridMultilevel"/>
    <w:tmpl w:val="9E4A0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A3CC4"/>
    <w:multiLevelType w:val="hybridMultilevel"/>
    <w:tmpl w:val="B92E9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97D17"/>
    <w:multiLevelType w:val="hybridMultilevel"/>
    <w:tmpl w:val="52C0E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10494"/>
    <w:multiLevelType w:val="hybridMultilevel"/>
    <w:tmpl w:val="C5388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3B1E16"/>
    <w:multiLevelType w:val="hybridMultilevel"/>
    <w:tmpl w:val="D2F0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34EE3"/>
    <w:multiLevelType w:val="hybridMultilevel"/>
    <w:tmpl w:val="38D6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FA65A6"/>
    <w:multiLevelType w:val="hybridMultilevel"/>
    <w:tmpl w:val="38CA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484C58"/>
    <w:multiLevelType w:val="hybridMultilevel"/>
    <w:tmpl w:val="166A4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6733847">
    <w:abstractNumId w:val="16"/>
  </w:num>
  <w:num w:numId="2" w16cid:durableId="1640569029">
    <w:abstractNumId w:val="30"/>
  </w:num>
  <w:num w:numId="3" w16cid:durableId="426584038">
    <w:abstractNumId w:val="9"/>
  </w:num>
  <w:num w:numId="4" w16cid:durableId="69666823">
    <w:abstractNumId w:val="7"/>
  </w:num>
  <w:num w:numId="5" w16cid:durableId="18508237">
    <w:abstractNumId w:val="5"/>
  </w:num>
  <w:num w:numId="6" w16cid:durableId="501897990">
    <w:abstractNumId w:val="4"/>
  </w:num>
  <w:num w:numId="7" w16cid:durableId="1984696324">
    <w:abstractNumId w:val="21"/>
  </w:num>
  <w:num w:numId="8" w16cid:durableId="232087201">
    <w:abstractNumId w:val="10"/>
  </w:num>
  <w:num w:numId="9" w16cid:durableId="969823534">
    <w:abstractNumId w:val="25"/>
  </w:num>
  <w:num w:numId="10" w16cid:durableId="1556503487">
    <w:abstractNumId w:val="19"/>
  </w:num>
  <w:num w:numId="11" w16cid:durableId="127478347">
    <w:abstractNumId w:val="17"/>
  </w:num>
  <w:num w:numId="12" w16cid:durableId="1281720228">
    <w:abstractNumId w:val="13"/>
  </w:num>
  <w:num w:numId="13" w16cid:durableId="1230992940">
    <w:abstractNumId w:val="26"/>
  </w:num>
  <w:num w:numId="14" w16cid:durableId="477574784">
    <w:abstractNumId w:val="1"/>
  </w:num>
  <w:num w:numId="15" w16cid:durableId="573979860">
    <w:abstractNumId w:val="29"/>
  </w:num>
  <w:num w:numId="16" w16cid:durableId="1571114991">
    <w:abstractNumId w:val="14"/>
  </w:num>
  <w:num w:numId="17" w16cid:durableId="463930233">
    <w:abstractNumId w:val="23"/>
  </w:num>
  <w:num w:numId="18" w16cid:durableId="736704695">
    <w:abstractNumId w:val="8"/>
  </w:num>
  <w:num w:numId="19" w16cid:durableId="561868487">
    <w:abstractNumId w:val="15"/>
  </w:num>
  <w:num w:numId="20" w16cid:durableId="1785685404">
    <w:abstractNumId w:val="3"/>
  </w:num>
  <w:num w:numId="21" w16cid:durableId="362026646">
    <w:abstractNumId w:val="0"/>
  </w:num>
  <w:num w:numId="22" w16cid:durableId="1676885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476592">
    <w:abstractNumId w:val="6"/>
  </w:num>
  <w:num w:numId="24" w16cid:durableId="537666496">
    <w:abstractNumId w:val="20"/>
  </w:num>
  <w:num w:numId="25" w16cid:durableId="1939869099">
    <w:abstractNumId w:val="22"/>
  </w:num>
  <w:num w:numId="26" w16cid:durableId="1579053019">
    <w:abstractNumId w:val="24"/>
  </w:num>
  <w:num w:numId="27" w16cid:durableId="948700645">
    <w:abstractNumId w:val="11"/>
  </w:num>
  <w:num w:numId="28" w16cid:durableId="97260672">
    <w:abstractNumId w:val="2"/>
  </w:num>
  <w:num w:numId="29" w16cid:durableId="1639918557">
    <w:abstractNumId w:val="18"/>
  </w:num>
  <w:num w:numId="30" w16cid:durableId="1672878333">
    <w:abstractNumId w:val="27"/>
  </w:num>
  <w:num w:numId="31" w16cid:durableId="894632563">
    <w:abstractNumId w:val="12"/>
  </w:num>
  <w:num w:numId="32" w16cid:durableId="6514435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316C4"/>
    <w:rsid w:val="00035083"/>
    <w:rsid w:val="00044B62"/>
    <w:rsid w:val="00050740"/>
    <w:rsid w:val="00073407"/>
    <w:rsid w:val="000A195C"/>
    <w:rsid w:val="000A4A9A"/>
    <w:rsid w:val="000B2385"/>
    <w:rsid w:val="000C3533"/>
    <w:rsid w:val="000C6A44"/>
    <w:rsid w:val="00124548"/>
    <w:rsid w:val="00126747"/>
    <w:rsid w:val="00143808"/>
    <w:rsid w:val="00156CAB"/>
    <w:rsid w:val="00166455"/>
    <w:rsid w:val="001C0E8E"/>
    <w:rsid w:val="001C7E78"/>
    <w:rsid w:val="001D6615"/>
    <w:rsid w:val="001E1FA6"/>
    <w:rsid w:val="002541BA"/>
    <w:rsid w:val="00271834"/>
    <w:rsid w:val="00297438"/>
    <w:rsid w:val="002A70BA"/>
    <w:rsid w:val="002C75DC"/>
    <w:rsid w:val="002D231B"/>
    <w:rsid w:val="002E25BE"/>
    <w:rsid w:val="003160A5"/>
    <w:rsid w:val="00344F26"/>
    <w:rsid w:val="003556CA"/>
    <w:rsid w:val="00370748"/>
    <w:rsid w:val="00370BE6"/>
    <w:rsid w:val="003761CB"/>
    <w:rsid w:val="00376E52"/>
    <w:rsid w:val="00394DA7"/>
    <w:rsid w:val="0039725D"/>
    <w:rsid w:val="003D13B9"/>
    <w:rsid w:val="003D6378"/>
    <w:rsid w:val="004172CD"/>
    <w:rsid w:val="00425232"/>
    <w:rsid w:val="00454F92"/>
    <w:rsid w:val="00471C5C"/>
    <w:rsid w:val="004B47B6"/>
    <w:rsid w:val="004C0568"/>
    <w:rsid w:val="004F1E66"/>
    <w:rsid w:val="005062E6"/>
    <w:rsid w:val="00520161"/>
    <w:rsid w:val="00526466"/>
    <w:rsid w:val="00536AFD"/>
    <w:rsid w:val="00587218"/>
    <w:rsid w:val="005943CE"/>
    <w:rsid w:val="005A1091"/>
    <w:rsid w:val="005C7136"/>
    <w:rsid w:val="005D20C5"/>
    <w:rsid w:val="006155A6"/>
    <w:rsid w:val="00634BD7"/>
    <w:rsid w:val="00670DC2"/>
    <w:rsid w:val="006828CD"/>
    <w:rsid w:val="006D440B"/>
    <w:rsid w:val="006E1D78"/>
    <w:rsid w:val="00704490"/>
    <w:rsid w:val="007252F8"/>
    <w:rsid w:val="007A3389"/>
    <w:rsid w:val="007D1314"/>
    <w:rsid w:val="00804D0A"/>
    <w:rsid w:val="0084336D"/>
    <w:rsid w:val="00846E72"/>
    <w:rsid w:val="00875D84"/>
    <w:rsid w:val="00884A2F"/>
    <w:rsid w:val="008973A4"/>
    <w:rsid w:val="008A3042"/>
    <w:rsid w:val="008B522E"/>
    <w:rsid w:val="008B7FD2"/>
    <w:rsid w:val="008D1399"/>
    <w:rsid w:val="008E28E4"/>
    <w:rsid w:val="008F4EAB"/>
    <w:rsid w:val="009D6A95"/>
    <w:rsid w:val="00A41E35"/>
    <w:rsid w:val="00A45153"/>
    <w:rsid w:val="00A5231F"/>
    <w:rsid w:val="00A66CD1"/>
    <w:rsid w:val="00A75EF1"/>
    <w:rsid w:val="00AA1137"/>
    <w:rsid w:val="00AB0C99"/>
    <w:rsid w:val="00B1292A"/>
    <w:rsid w:val="00B277CB"/>
    <w:rsid w:val="00B30DA6"/>
    <w:rsid w:val="00B739B9"/>
    <w:rsid w:val="00B77E5C"/>
    <w:rsid w:val="00BA3529"/>
    <w:rsid w:val="00BC3DC0"/>
    <w:rsid w:val="00BC68CE"/>
    <w:rsid w:val="00BD3909"/>
    <w:rsid w:val="00BF6927"/>
    <w:rsid w:val="00C03C0D"/>
    <w:rsid w:val="00C10E07"/>
    <w:rsid w:val="00C11EBC"/>
    <w:rsid w:val="00C30FAA"/>
    <w:rsid w:val="00C319E4"/>
    <w:rsid w:val="00C70EF6"/>
    <w:rsid w:val="00C84F2C"/>
    <w:rsid w:val="00C939F9"/>
    <w:rsid w:val="00CC5C50"/>
    <w:rsid w:val="00CD236B"/>
    <w:rsid w:val="00CD7065"/>
    <w:rsid w:val="00CF5733"/>
    <w:rsid w:val="00D03976"/>
    <w:rsid w:val="00D152D5"/>
    <w:rsid w:val="00D338BC"/>
    <w:rsid w:val="00D674CE"/>
    <w:rsid w:val="00D77A37"/>
    <w:rsid w:val="00D97477"/>
    <w:rsid w:val="00DA6016"/>
    <w:rsid w:val="00DC2CCA"/>
    <w:rsid w:val="00DC6D4B"/>
    <w:rsid w:val="00DC6D6E"/>
    <w:rsid w:val="00DD13E9"/>
    <w:rsid w:val="00DF5CA2"/>
    <w:rsid w:val="00DF7BB1"/>
    <w:rsid w:val="00E50C68"/>
    <w:rsid w:val="00E8526B"/>
    <w:rsid w:val="00E87089"/>
    <w:rsid w:val="00ED2821"/>
    <w:rsid w:val="00F07F3E"/>
    <w:rsid w:val="00F15542"/>
    <w:rsid w:val="00F27883"/>
    <w:rsid w:val="00F604E5"/>
    <w:rsid w:val="00F63A40"/>
    <w:rsid w:val="00F63F9B"/>
    <w:rsid w:val="00F8609B"/>
    <w:rsid w:val="00F87C18"/>
    <w:rsid w:val="00F977C4"/>
    <w:rsid w:val="00FA29E5"/>
    <w:rsid w:val="00FA2E7A"/>
    <w:rsid w:val="00FC3B5B"/>
    <w:rsid w:val="00FC3DDC"/>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A5D36"/>
  <w15:chartTrackingRefBased/>
  <w15:docId w15:val="{05B66550-8ADC-41D9-9E08-D37CEF95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54F92"/>
    <w:pPr>
      <w:jc w:val="cente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454F92"/>
    <w:pPr>
      <w:spacing w:after="0" w:line="240" w:lineRule="auto"/>
      <w:outlineLvl w:val="1"/>
    </w:pPr>
    <w:rPr>
      <w:rFonts w:cstheme="minorHAnsi"/>
      <w:b/>
      <w:sz w:val="28"/>
      <w:szCs w:val="28"/>
      <w:u w:val="single"/>
    </w:rPr>
  </w:style>
  <w:style w:type="paragraph" w:styleId="Heading3">
    <w:name w:val="heading 3"/>
    <w:basedOn w:val="Normal"/>
    <w:next w:val="Normal"/>
    <w:link w:val="Heading3Char"/>
    <w:uiPriority w:val="9"/>
    <w:unhideWhenUsed/>
    <w:qFormat/>
    <w:rsid w:val="00454F92"/>
    <w:pPr>
      <w:spacing w:after="0" w:line="240" w:lineRule="auto"/>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CommentReference">
    <w:name w:val="annotation reference"/>
    <w:basedOn w:val="DefaultParagraphFont"/>
    <w:uiPriority w:val="99"/>
    <w:semiHidden/>
    <w:unhideWhenUsed/>
    <w:rsid w:val="003D6378"/>
    <w:rPr>
      <w:sz w:val="16"/>
      <w:szCs w:val="16"/>
    </w:rPr>
  </w:style>
  <w:style w:type="paragraph" w:styleId="CommentText">
    <w:name w:val="annotation text"/>
    <w:basedOn w:val="Normal"/>
    <w:link w:val="CommentTextChar"/>
    <w:uiPriority w:val="99"/>
    <w:semiHidden/>
    <w:unhideWhenUsed/>
    <w:rsid w:val="003D6378"/>
    <w:pPr>
      <w:spacing w:line="240" w:lineRule="auto"/>
    </w:pPr>
    <w:rPr>
      <w:sz w:val="20"/>
      <w:szCs w:val="20"/>
    </w:rPr>
  </w:style>
  <w:style w:type="character" w:customStyle="1" w:styleId="CommentTextChar">
    <w:name w:val="Comment Text Char"/>
    <w:basedOn w:val="DefaultParagraphFont"/>
    <w:link w:val="CommentText"/>
    <w:uiPriority w:val="99"/>
    <w:semiHidden/>
    <w:rsid w:val="003D6378"/>
    <w:rPr>
      <w:sz w:val="20"/>
      <w:szCs w:val="20"/>
    </w:rPr>
  </w:style>
  <w:style w:type="paragraph" w:styleId="CommentSubject">
    <w:name w:val="annotation subject"/>
    <w:basedOn w:val="CommentText"/>
    <w:next w:val="CommentText"/>
    <w:link w:val="CommentSubjectChar"/>
    <w:uiPriority w:val="99"/>
    <w:semiHidden/>
    <w:unhideWhenUsed/>
    <w:rsid w:val="003D6378"/>
    <w:rPr>
      <w:b/>
      <w:bCs/>
    </w:rPr>
  </w:style>
  <w:style w:type="character" w:customStyle="1" w:styleId="CommentSubjectChar">
    <w:name w:val="Comment Subject Char"/>
    <w:basedOn w:val="CommentTextChar"/>
    <w:link w:val="CommentSubject"/>
    <w:uiPriority w:val="99"/>
    <w:semiHidden/>
    <w:rsid w:val="003D6378"/>
    <w:rPr>
      <w:b/>
      <w:bCs/>
      <w:sz w:val="20"/>
      <w:szCs w:val="20"/>
    </w:rPr>
  </w:style>
  <w:style w:type="paragraph" w:styleId="BalloonText">
    <w:name w:val="Balloon Text"/>
    <w:basedOn w:val="Normal"/>
    <w:link w:val="BalloonTextChar"/>
    <w:uiPriority w:val="99"/>
    <w:semiHidden/>
    <w:unhideWhenUsed/>
    <w:rsid w:val="003D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78"/>
    <w:rPr>
      <w:rFonts w:ascii="Segoe UI" w:hAnsi="Segoe UI" w:cs="Segoe UI"/>
      <w:sz w:val="18"/>
      <w:szCs w:val="18"/>
    </w:rPr>
  </w:style>
  <w:style w:type="character" w:styleId="FollowedHyperlink">
    <w:name w:val="FollowedHyperlink"/>
    <w:basedOn w:val="DefaultParagraphFont"/>
    <w:uiPriority w:val="99"/>
    <w:semiHidden/>
    <w:unhideWhenUsed/>
    <w:rsid w:val="003D6378"/>
    <w:rPr>
      <w:color w:val="954F72" w:themeColor="followedHyperlink"/>
      <w:u w:val="single"/>
    </w:rPr>
  </w:style>
  <w:style w:type="paragraph" w:styleId="Title">
    <w:name w:val="Title"/>
    <w:basedOn w:val="Normal"/>
    <w:next w:val="Normal"/>
    <w:link w:val="TitleChar"/>
    <w:uiPriority w:val="10"/>
    <w:qFormat/>
    <w:rsid w:val="001D6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6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4F92"/>
    <w:rPr>
      <w:rFonts w:eastAsiaTheme="majorEastAsia" w:cstheme="minorHAnsi"/>
      <w:b/>
      <w:spacing w:val="-10"/>
      <w:kern w:val="28"/>
      <w:sz w:val="32"/>
      <w:szCs w:val="32"/>
    </w:rPr>
  </w:style>
  <w:style w:type="character" w:customStyle="1" w:styleId="Heading2Char">
    <w:name w:val="Heading 2 Char"/>
    <w:basedOn w:val="DefaultParagraphFont"/>
    <w:link w:val="Heading2"/>
    <w:uiPriority w:val="9"/>
    <w:rsid w:val="00454F92"/>
    <w:rPr>
      <w:rFonts w:cstheme="minorHAnsi"/>
      <w:b/>
      <w:sz w:val="28"/>
      <w:szCs w:val="28"/>
      <w:u w:val="single"/>
    </w:rPr>
  </w:style>
  <w:style w:type="character" w:customStyle="1" w:styleId="Heading3Char">
    <w:name w:val="Heading 3 Char"/>
    <w:basedOn w:val="DefaultParagraphFont"/>
    <w:link w:val="Heading3"/>
    <w:uiPriority w:val="9"/>
    <w:rsid w:val="00454F92"/>
    <w:rPr>
      <w:rFonts w:cstheme="minorHAnsi"/>
      <w:b/>
      <w:sz w:val="24"/>
      <w:szCs w:val="24"/>
    </w:rPr>
  </w:style>
  <w:style w:type="paragraph" w:styleId="Revision">
    <w:name w:val="Revision"/>
    <w:hidden/>
    <w:uiPriority w:val="99"/>
    <w:semiHidden/>
    <w:rsid w:val="00CC5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search.wayne.edu/oehs/pdf/chemical-hygiene-plan.pdf" TargetMode="External"/><Relationship Id="rId18" Type="http://schemas.openxmlformats.org/officeDocument/2006/relationships/hyperlink" Target="https://about.citiprogram.org/en/homepage/" TargetMode="External"/><Relationship Id="rId3" Type="http://schemas.openxmlformats.org/officeDocument/2006/relationships/customXml" Target="../customXml/item3.xml"/><Relationship Id="rId21" Type="http://schemas.openxmlformats.org/officeDocument/2006/relationships/hyperlink" Target="https://research.wayne.edu/oehs/hazardous/chemical-waste" TargetMode="External"/><Relationship Id="rId7" Type="http://schemas.openxmlformats.org/officeDocument/2006/relationships/webSettings" Target="webSettings.xml"/><Relationship Id="rId12" Type="http://schemas.openxmlformats.org/officeDocument/2006/relationships/hyperlink" Target="https://www.ansellguardianpartner.com/chemical/home" TargetMode="External"/><Relationship Id="rId17" Type="http://schemas.openxmlformats.org/officeDocument/2006/relationships/hyperlink" Target="https://risk.wayne.edu/files/rofi.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chigan.gov/documents/lara/lara_miosha_cet0199_628109_7.doc" TargetMode="External"/><Relationship Id="rId20" Type="http://schemas.openxmlformats.org/officeDocument/2006/relationships/hyperlink" Target="https://research.wayne.edu/oehs/lab-safety/lab-safety-training-checklis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search.wayne.edu/oehs/hazardous/chemical-waste.php"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risk.wayne.edu/fire-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s.org/content/acs/en/about/governance/committees/chemicalsafety/publications/guide-for-chemical-spill-response.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DFABB-11DF-4F59-BDE1-3EA50E8F7DBF}">
  <ds:schemaRefs>
    <ds:schemaRef ds:uri="http://schemas.microsoft.com/sharepoint/v3/contenttype/forms"/>
  </ds:schemaRefs>
</ds:datastoreItem>
</file>

<file path=customXml/itemProps2.xml><?xml version="1.0" encoding="utf-8"?>
<ds:datastoreItem xmlns:ds="http://schemas.openxmlformats.org/officeDocument/2006/customXml" ds:itemID="{F5954D48-9E21-4B25-A798-D49B8FBB30AC}">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52f2984-07a8-441e-8dbd-70b550b10d33"/>
    <ds:schemaRef ds:uri="http://www.w3.org/XML/1998/namespace"/>
  </ds:schemaRefs>
</ds:datastoreItem>
</file>

<file path=customXml/itemProps3.xml><?xml version="1.0" encoding="utf-8"?>
<ds:datastoreItem xmlns:ds="http://schemas.openxmlformats.org/officeDocument/2006/customXml" ds:itemID="{B830B36B-8327-4FE9-90CD-313EA67C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Standard Operating Procedure for Biological Toxins</vt:lpstr>
    </vt:vector>
  </TitlesOfParts>
  <Company>Wayne State University: Division of Research</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Biological Toxins</dc:title>
  <dc:subject>safe handling of biological toxins</dc:subject>
  <dc:creator>Linda  marie ritter</dc:creator>
  <cp:keywords>biological toxins</cp:keywords>
  <dc:description/>
  <cp:lastModifiedBy>Linda Ritter</cp:lastModifiedBy>
  <cp:revision>8</cp:revision>
  <dcterms:created xsi:type="dcterms:W3CDTF">2020-04-09T18:03:00Z</dcterms:created>
  <dcterms:modified xsi:type="dcterms:W3CDTF">2023-12-05T20:05:00Z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